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3E7C" w:rsidRPr="007D4DCF" w:rsidRDefault="00EA1A17" w:rsidP="00261E15">
      <w:pPr>
        <w:jc w:val="center"/>
        <w:rPr>
          <w:rFonts w:ascii="TH SarabunPSK" w:hAnsi="TH SarabunPSK" w:cs="TH SarabunPSK"/>
          <w:b/>
          <w:bCs/>
          <w:sz w:val="32"/>
          <w:szCs w:val="32"/>
        </w:rPr>
      </w:pPr>
      <w:r w:rsidRPr="007D4DCF">
        <w:rPr>
          <w:rFonts w:ascii="TH SarabunPSK" w:hAnsi="TH SarabunPSK" w:cs="TH SarabunPSK"/>
          <w:b/>
          <w:bCs/>
          <w:noProof/>
          <w:sz w:val="32"/>
          <w:szCs w:val="32"/>
        </w:rPr>
        <mc:AlternateContent>
          <mc:Choice Requires="wps">
            <w:drawing>
              <wp:anchor distT="0" distB="0" distL="114300" distR="114300" simplePos="0" relativeHeight="251658240" behindDoc="0" locked="0" layoutInCell="1" allowOverlap="1">
                <wp:simplePos x="0" y="0"/>
                <wp:positionH relativeFrom="column">
                  <wp:posOffset>3762375</wp:posOffset>
                </wp:positionH>
                <wp:positionV relativeFrom="paragraph">
                  <wp:posOffset>-590550</wp:posOffset>
                </wp:positionV>
                <wp:extent cx="2143125" cy="361950"/>
                <wp:effectExtent l="0" t="0" r="952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361950"/>
                        </a:xfrm>
                        <a:prstGeom prst="rect">
                          <a:avLst/>
                        </a:prstGeom>
                        <a:solidFill>
                          <a:srgbClr val="FFFFFF"/>
                        </a:solidFill>
                        <a:ln w="9525">
                          <a:noFill/>
                          <a:miter lim="800000"/>
                          <a:headEnd/>
                          <a:tailEnd/>
                        </a:ln>
                      </wps:spPr>
                      <wps:txbx>
                        <w:txbxContent>
                          <w:p w:rsidR="00EA1A17" w:rsidRPr="005C4C45" w:rsidRDefault="00EA1A17" w:rsidP="00EA1A17">
                            <w:pPr>
                              <w:jc w:val="center"/>
                              <w:rPr>
                                <w:rFonts w:ascii="TH SarabunPSK" w:hAnsi="TH SarabunPSK" w:cs="TH SarabunPSK"/>
                                <w:b/>
                                <w:bCs/>
                                <w:color w:val="FFFFFF" w:themeColor="background1"/>
                                <w:sz w:val="32"/>
                                <w:szCs w:val="32"/>
                                <w:cs/>
                              </w:rPr>
                            </w:pPr>
                            <w:r w:rsidRPr="005C4C45">
                              <w:rPr>
                                <w:rFonts w:ascii="TH SarabunPSK" w:hAnsi="TH SarabunPSK" w:cs="TH SarabunPSK"/>
                                <w:b/>
                                <w:bCs/>
                                <w:color w:val="FFFFFF" w:themeColor="background1"/>
                                <w:sz w:val="32"/>
                                <w:szCs w:val="32"/>
                                <w:cs/>
                              </w:rPr>
                              <w:t>โปรดใช้แทนเอกสารฉบับเดิม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96.25pt;margin-top:-46.5pt;width:168.75pt;height:2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" stroked="f">
                <v:textbox>
                  <w:txbxContent>
                    <w:p w:rsidR="00EA1A17" w:rsidRPr="005C4C45" w:rsidRDefault="00EA1A17" w:rsidP="00EA1A17">
                      <w:pPr>
                        <w:jc w:val="center"/>
                        <w:rPr>
                          <w:rFonts w:ascii="TH SarabunPSK" w:hAnsi="TH SarabunPSK" w:cs="TH SarabunPSK"/>
                          <w:b/>
                          <w:bCs/>
                          <w:color w:val="FFFFFF" w:themeColor="background1"/>
                          <w:sz w:val="32"/>
                          <w:szCs w:val="32"/>
                          <w:cs/>
                        </w:rPr>
                      </w:pPr>
                      <w:r w:rsidRPr="005C4C45">
                        <w:rPr>
                          <w:rFonts w:ascii="TH SarabunPSK" w:hAnsi="TH SarabunPSK" w:cs="TH SarabunPSK"/>
                          <w:b/>
                          <w:bCs/>
                          <w:color w:val="FFFFFF" w:themeColor="background1"/>
                          <w:sz w:val="32"/>
                          <w:szCs w:val="32"/>
                          <w:cs/>
                        </w:rPr>
                        <w:t>โปรดใช้แทนเอกสารฉบับเดิม</w:t>
                      </w:r>
                    </w:p>
                  </w:txbxContent>
                </v:textbox>
              </v:shape>
            </w:pict>
          </mc:Fallback>
        </mc:AlternateContent>
      </w:r>
      <w:r w:rsidR="00476BAE" w:rsidRPr="007D4DCF">
        <w:rPr>
          <w:rFonts w:ascii="TH SarabunPSK" w:hAnsi="TH SarabunPSK" w:cs="TH SarabunPSK"/>
          <w:b/>
          <w:bCs/>
          <w:sz w:val="32"/>
          <w:szCs w:val="32"/>
          <w:cs/>
        </w:rPr>
        <w:t>สรุปการจัดทำตัวชี้วัด</w:t>
      </w:r>
      <w:r w:rsidR="009832FF" w:rsidRPr="007D4DCF">
        <w:rPr>
          <w:rFonts w:ascii="TH SarabunPSK" w:hAnsi="TH SarabunPSK" w:cs="TH SarabunPSK"/>
          <w:b/>
          <w:bCs/>
          <w:sz w:val="32"/>
          <w:szCs w:val="32"/>
          <w:cs/>
        </w:rPr>
        <w:t xml:space="preserve"> </w:t>
      </w:r>
      <w:r w:rsidR="009832FF" w:rsidRPr="007D4DCF">
        <w:rPr>
          <w:rFonts w:ascii="TH SarabunPSK" w:hAnsi="TH SarabunPSK" w:cs="TH SarabunPSK"/>
          <w:b/>
          <w:bCs/>
          <w:sz w:val="32"/>
          <w:szCs w:val="32"/>
        </w:rPr>
        <w:t>Thomson Reuters Global Institutional Profiles Project – Data Collection Tool Screen Shots</w:t>
      </w:r>
    </w:p>
    <w:tbl>
      <w:tblPr>
        <w:tblStyle w:val="TableGrid"/>
        <w:tblW w:w="13860" w:type="dxa"/>
        <w:tblInd w:w="-95" w:type="dxa"/>
        <w:tblLook w:val="04A0" w:firstRow="1" w:lastRow="0" w:firstColumn="1" w:lastColumn="0" w:noHBand="0" w:noVBand="1"/>
      </w:tblPr>
      <w:tblGrid>
        <w:gridCol w:w="5040"/>
        <w:gridCol w:w="8820"/>
      </w:tblGrid>
      <w:tr w:rsidR="00DF547A" w:rsidRPr="007D4DCF" w:rsidTr="007D4DCF">
        <w:trPr>
          <w:tblHeader/>
        </w:trPr>
        <w:tc>
          <w:tcPr>
            <w:tcW w:w="5040" w:type="dxa"/>
            <w:tcBorders>
              <w:bottom w:val="single" w:sz="4" w:space="0" w:color="auto"/>
            </w:tcBorders>
          </w:tcPr>
          <w:p w:rsidR="00DF547A" w:rsidRPr="007D4DCF" w:rsidRDefault="00DF547A" w:rsidP="008441A1">
            <w:pPr>
              <w:jc w:val="center"/>
              <w:rPr>
                <w:rFonts w:ascii="TH SarabunPSK" w:hAnsi="TH SarabunPSK" w:cs="TH SarabunPSK"/>
                <w:b/>
                <w:bCs/>
                <w:sz w:val="32"/>
                <w:szCs w:val="32"/>
                <w:cs/>
              </w:rPr>
            </w:pPr>
            <w:r w:rsidRPr="007D4DCF">
              <w:rPr>
                <w:rFonts w:ascii="TH SarabunPSK" w:hAnsi="TH SarabunPSK" w:cs="TH SarabunPSK"/>
                <w:b/>
                <w:bCs/>
                <w:sz w:val="32"/>
                <w:szCs w:val="32"/>
                <w:cs/>
              </w:rPr>
              <w:t>ตัวชี้วัด</w:t>
            </w:r>
          </w:p>
        </w:tc>
        <w:tc>
          <w:tcPr>
            <w:tcW w:w="8820" w:type="dxa"/>
            <w:tcBorders>
              <w:bottom w:val="single" w:sz="4" w:space="0" w:color="auto"/>
            </w:tcBorders>
          </w:tcPr>
          <w:p w:rsidR="00DF547A" w:rsidRPr="007D4DCF" w:rsidRDefault="00DF547A" w:rsidP="008441A1">
            <w:pPr>
              <w:jc w:val="center"/>
              <w:rPr>
                <w:rFonts w:ascii="TH SarabunPSK" w:hAnsi="TH SarabunPSK" w:cs="TH SarabunPSK"/>
                <w:b/>
                <w:bCs/>
                <w:sz w:val="32"/>
                <w:szCs w:val="32"/>
                <w:cs/>
              </w:rPr>
            </w:pPr>
            <w:r w:rsidRPr="007D4DCF">
              <w:rPr>
                <w:rFonts w:ascii="TH SarabunPSK" w:hAnsi="TH SarabunPSK" w:cs="TH SarabunPSK"/>
                <w:b/>
                <w:bCs/>
                <w:sz w:val="32"/>
                <w:szCs w:val="32"/>
                <w:cs/>
              </w:rPr>
              <w:t>คำอธิบาย</w:t>
            </w:r>
          </w:p>
        </w:tc>
      </w:tr>
      <w:tr w:rsidR="00DF547A" w:rsidRPr="007D4DCF" w:rsidTr="007D4DCF">
        <w:tc>
          <w:tcPr>
            <w:tcW w:w="5040" w:type="dxa"/>
            <w:tcBorders>
              <w:bottom w:val="nil"/>
            </w:tcBorders>
          </w:tcPr>
          <w:p w:rsidR="00955BC6" w:rsidRPr="007D4DCF" w:rsidRDefault="00DF547A" w:rsidP="00EA1A17">
            <w:pPr>
              <w:pStyle w:val="ListParagraph"/>
              <w:numPr>
                <w:ilvl w:val="0"/>
                <w:numId w:val="1"/>
              </w:numPr>
              <w:rPr>
                <w:rFonts w:ascii="TH SarabunPSK" w:hAnsi="TH SarabunPSK" w:cs="TH SarabunPSK"/>
                <w:b/>
                <w:bCs/>
                <w:sz w:val="32"/>
                <w:szCs w:val="32"/>
              </w:rPr>
            </w:pPr>
            <w:r w:rsidRPr="007D4DCF">
              <w:rPr>
                <w:rFonts w:ascii="TH SarabunPSK" w:hAnsi="TH SarabunPSK" w:cs="TH SarabunPSK"/>
                <w:b/>
                <w:bCs/>
                <w:sz w:val="32"/>
                <w:szCs w:val="32"/>
                <w:cs/>
              </w:rPr>
              <w:t>จำนวนคณาจารย์</w:t>
            </w:r>
            <w:r w:rsidRPr="007D4DCF">
              <w:rPr>
                <w:rFonts w:ascii="TH SarabunPSK" w:hAnsi="TH SarabunPSK" w:cs="TH SarabunPSK"/>
                <w:b/>
                <w:bCs/>
                <w:sz w:val="32"/>
                <w:szCs w:val="32"/>
              </w:rPr>
              <w:t xml:space="preserve"> </w:t>
            </w:r>
          </w:p>
          <w:p w:rsidR="00DF547A" w:rsidRPr="007D4DCF" w:rsidRDefault="00955BC6" w:rsidP="00955BC6">
            <w:pPr>
              <w:pStyle w:val="ListParagraph"/>
              <w:ind w:left="360"/>
              <w:rPr>
                <w:rFonts w:ascii="TH SarabunPSK" w:hAnsi="TH SarabunPSK" w:cs="TH SarabunPSK"/>
                <w:sz w:val="32"/>
                <w:szCs w:val="32"/>
              </w:rPr>
            </w:pPr>
            <w:r w:rsidRPr="007D4DCF">
              <w:rPr>
                <w:rFonts w:ascii="TH SarabunPSK" w:hAnsi="TH SarabunPSK" w:cs="TH SarabunPSK"/>
                <w:b/>
                <w:bCs/>
                <w:sz w:val="32"/>
                <w:szCs w:val="32"/>
              </w:rPr>
              <w:t>Number of academic staff</w:t>
            </w:r>
          </w:p>
          <w:p w:rsidR="00955BC6" w:rsidRPr="007D4DCF" w:rsidRDefault="00955BC6" w:rsidP="00955BC6">
            <w:pPr>
              <w:pStyle w:val="ListParagraph"/>
              <w:numPr>
                <w:ilvl w:val="1"/>
                <w:numId w:val="1"/>
              </w:numPr>
              <w:rPr>
                <w:rFonts w:ascii="TH SarabunPSK" w:hAnsi="TH SarabunPSK" w:cs="TH SarabunPSK"/>
                <w:sz w:val="32"/>
                <w:szCs w:val="32"/>
              </w:rPr>
            </w:pPr>
            <w:r w:rsidRPr="007D4DCF">
              <w:rPr>
                <w:rFonts w:ascii="TH SarabunPSK" w:hAnsi="TH SarabunPSK" w:cs="TH SarabunPSK"/>
                <w:sz w:val="32"/>
                <w:szCs w:val="32"/>
                <w:cs/>
              </w:rPr>
              <w:t>ชาวต่างชาติ</w:t>
            </w:r>
          </w:p>
          <w:p w:rsidR="00955BC6" w:rsidRPr="007D4DCF" w:rsidRDefault="00955BC6" w:rsidP="00955BC6">
            <w:pPr>
              <w:pStyle w:val="ListParagraph"/>
              <w:numPr>
                <w:ilvl w:val="1"/>
                <w:numId w:val="1"/>
              </w:numPr>
              <w:rPr>
                <w:rFonts w:ascii="TH SarabunPSK" w:hAnsi="TH SarabunPSK" w:cs="TH SarabunPSK"/>
                <w:sz w:val="32"/>
                <w:szCs w:val="32"/>
              </w:rPr>
            </w:pPr>
            <w:r w:rsidRPr="007D4DCF">
              <w:rPr>
                <w:rFonts w:ascii="TH SarabunPSK" w:hAnsi="TH SarabunPSK" w:cs="TH SarabunPSK"/>
                <w:sz w:val="32"/>
                <w:szCs w:val="32"/>
                <w:cs/>
              </w:rPr>
              <w:t>เพศหญิง</w:t>
            </w:r>
          </w:p>
        </w:tc>
        <w:tc>
          <w:tcPr>
            <w:tcW w:w="8820" w:type="dxa"/>
            <w:tcBorders>
              <w:bottom w:val="nil"/>
            </w:tcBorders>
          </w:tcPr>
          <w:p w:rsidR="00955BC6" w:rsidRPr="007D4DCF" w:rsidRDefault="00955BC6" w:rsidP="00955BC6">
            <w:pPr>
              <w:rPr>
                <w:rFonts w:ascii="TH SarabunPSK" w:hAnsi="TH SarabunPSK" w:cs="TH SarabunPSK" w:hint="cs"/>
                <w:sz w:val="32"/>
                <w:szCs w:val="32"/>
                <w:cs/>
              </w:rPr>
            </w:pPr>
            <w:r w:rsidRPr="007D4DCF">
              <w:rPr>
                <w:rFonts w:ascii="TH SarabunPSK" w:hAnsi="TH SarabunPSK" w:cs="TH SarabunPSK"/>
                <w:sz w:val="32"/>
                <w:szCs w:val="32"/>
              </w:rPr>
              <w:t>This is the FTE number of staff that are employed for an academic post. Typically they will have a post such as: lecturer, reader, assistant/associate professor or professor.</w:t>
            </w:r>
          </w:p>
          <w:p w:rsidR="00955BC6" w:rsidRPr="007D4DCF" w:rsidRDefault="00955BC6" w:rsidP="007D4DCF">
            <w:pPr>
              <w:jc w:val="thaiDistribute"/>
              <w:rPr>
                <w:rFonts w:ascii="TH SarabunPSK" w:hAnsi="TH SarabunPSK" w:cs="TH SarabunPSK"/>
                <w:sz w:val="32"/>
                <w:szCs w:val="32"/>
              </w:rPr>
            </w:pPr>
            <w:r w:rsidRPr="007D4DCF">
              <w:rPr>
                <w:rFonts w:ascii="TH SarabunPSK" w:hAnsi="TH SarabunPSK" w:cs="TH SarabunPSK"/>
                <w:sz w:val="32"/>
                <w:szCs w:val="32"/>
              </w:rPr>
              <w:t>Notes: This should include permanent staff and staff that are employed on a long-term contract basis. This will NOT include: non-teaching ‘fellows’ (the term varies across countries), researchers (only doing research), post-doctoral researchers, research assistants, clinicians of all types (unless they also have an academic post), technicians and staff that support the general infrastructure of the institution or students (of all levels). This will NOT include staff that hold an academic post but are no longer active (e.g. honorary posts or retired staff) or visiting staff.</w:t>
            </w:r>
          </w:p>
          <w:p w:rsidR="00955BC6" w:rsidRPr="007D4DCF" w:rsidRDefault="00955BC6" w:rsidP="00955BC6">
            <w:pPr>
              <w:rPr>
                <w:rFonts w:ascii="TH SarabunPSK" w:hAnsi="TH SarabunPSK" w:cs="TH SarabunPSK"/>
                <w:sz w:val="32"/>
                <w:szCs w:val="32"/>
              </w:rPr>
            </w:pPr>
            <w:r w:rsidRPr="007D4DCF">
              <w:rPr>
                <w:rFonts w:ascii="TH SarabunPSK" w:hAnsi="TH SarabunPSK" w:cs="TH SarabunPSK"/>
                <w:sz w:val="32"/>
                <w:szCs w:val="32"/>
              </w:rPr>
              <w:t>Of which are international/overseas origin</w:t>
            </w:r>
          </w:p>
          <w:p w:rsidR="00955BC6" w:rsidRPr="007D4DCF" w:rsidRDefault="00955BC6" w:rsidP="00955BC6">
            <w:pPr>
              <w:rPr>
                <w:rFonts w:ascii="TH SarabunPSK" w:hAnsi="TH SarabunPSK" w:cs="TH SarabunPSK"/>
                <w:sz w:val="32"/>
                <w:szCs w:val="32"/>
              </w:rPr>
            </w:pPr>
            <w:r w:rsidRPr="007D4DCF">
              <w:rPr>
                <w:rFonts w:ascii="TH SarabunPSK" w:hAnsi="TH SarabunPSK" w:cs="TH SarabunPSK"/>
                <w:sz w:val="32"/>
                <w:szCs w:val="32"/>
              </w:rPr>
              <w:t>The FTE number of “academic staff” (see above) whose nationality is different from the country in which your institution is based.</w:t>
            </w:r>
          </w:p>
          <w:p w:rsidR="00955BC6" w:rsidRPr="007D4DCF" w:rsidRDefault="00955BC6" w:rsidP="00955BC6">
            <w:pPr>
              <w:rPr>
                <w:rFonts w:ascii="TH SarabunPSK" w:hAnsi="TH SarabunPSK" w:cs="TH SarabunPSK"/>
                <w:sz w:val="32"/>
                <w:szCs w:val="32"/>
              </w:rPr>
            </w:pPr>
            <w:r w:rsidRPr="007D4DCF">
              <w:rPr>
                <w:rFonts w:ascii="TH SarabunPSK" w:hAnsi="TH SarabunPSK" w:cs="TH SarabunPSK"/>
                <w:sz w:val="32"/>
                <w:szCs w:val="32"/>
              </w:rPr>
              <w:t>This will NOT include naturalized citizens.</w:t>
            </w:r>
          </w:p>
          <w:p w:rsidR="00955BC6" w:rsidRPr="007D4DCF" w:rsidRDefault="00955BC6" w:rsidP="00955BC6">
            <w:pPr>
              <w:rPr>
                <w:rFonts w:ascii="TH SarabunPSK" w:hAnsi="TH SarabunPSK" w:cs="TH SarabunPSK"/>
                <w:sz w:val="32"/>
                <w:szCs w:val="32"/>
              </w:rPr>
            </w:pPr>
            <w:r w:rsidRPr="007D4DCF">
              <w:rPr>
                <w:rFonts w:ascii="TH SarabunPSK" w:hAnsi="TH SarabunPSK" w:cs="TH SarabunPSK"/>
                <w:sz w:val="32"/>
                <w:szCs w:val="32"/>
              </w:rPr>
              <w:t>Of which are women</w:t>
            </w:r>
          </w:p>
          <w:p w:rsidR="00DF547A" w:rsidRPr="007D4DCF" w:rsidRDefault="00955BC6" w:rsidP="00D50CB0">
            <w:pPr>
              <w:rPr>
                <w:rFonts w:ascii="TH SarabunPSK" w:hAnsi="TH SarabunPSK" w:cs="TH SarabunPSK"/>
                <w:sz w:val="32"/>
                <w:szCs w:val="32"/>
                <w:cs/>
              </w:rPr>
            </w:pPr>
            <w:r w:rsidRPr="007D4DCF">
              <w:rPr>
                <w:rFonts w:ascii="TH SarabunPSK" w:hAnsi="TH SarabunPSK" w:cs="TH SarabunPSK"/>
                <w:sz w:val="32"/>
                <w:szCs w:val="32"/>
              </w:rPr>
              <w:t>The FTE number of “academic staff” (see above) that are women.</w:t>
            </w:r>
          </w:p>
        </w:tc>
      </w:tr>
      <w:tr w:rsidR="00DF547A" w:rsidRPr="007D4DCF" w:rsidTr="007D4DCF">
        <w:tc>
          <w:tcPr>
            <w:tcW w:w="5040" w:type="dxa"/>
            <w:tcBorders>
              <w:bottom w:val="single" w:sz="4" w:space="0" w:color="auto"/>
            </w:tcBorders>
          </w:tcPr>
          <w:p w:rsidR="00955BC6" w:rsidRPr="007D4DCF" w:rsidRDefault="00955BC6" w:rsidP="00451452">
            <w:pPr>
              <w:pStyle w:val="ListParagraph"/>
              <w:numPr>
                <w:ilvl w:val="0"/>
                <w:numId w:val="1"/>
              </w:numPr>
              <w:rPr>
                <w:rFonts w:ascii="TH SarabunPSK" w:hAnsi="TH SarabunPSK" w:cs="TH SarabunPSK"/>
                <w:b/>
                <w:bCs/>
                <w:sz w:val="32"/>
                <w:szCs w:val="32"/>
              </w:rPr>
            </w:pPr>
            <w:r w:rsidRPr="007D4DCF">
              <w:rPr>
                <w:rFonts w:ascii="TH SarabunPSK" w:hAnsi="TH SarabunPSK" w:cs="TH SarabunPSK"/>
                <w:b/>
                <w:bCs/>
                <w:sz w:val="32"/>
                <w:szCs w:val="32"/>
                <w:cs/>
              </w:rPr>
              <w:t>จำนวนบุคลากรด้านวิจัย</w:t>
            </w:r>
            <w:r w:rsidRPr="007D4DCF">
              <w:rPr>
                <w:rFonts w:ascii="TH SarabunPSK" w:hAnsi="TH SarabunPSK" w:cs="TH SarabunPSK"/>
                <w:b/>
                <w:bCs/>
                <w:sz w:val="32"/>
                <w:szCs w:val="32"/>
              </w:rPr>
              <w:t xml:space="preserve"> </w:t>
            </w:r>
          </w:p>
          <w:p w:rsidR="00DF547A" w:rsidRPr="007D4DCF" w:rsidRDefault="00955BC6" w:rsidP="00955BC6">
            <w:pPr>
              <w:pStyle w:val="ListParagraph"/>
              <w:ind w:left="360"/>
              <w:rPr>
                <w:rFonts w:ascii="TH SarabunPSK" w:hAnsi="TH SarabunPSK" w:cs="TH SarabunPSK"/>
                <w:sz w:val="32"/>
                <w:szCs w:val="32"/>
              </w:rPr>
            </w:pPr>
            <w:r w:rsidRPr="007D4DCF">
              <w:rPr>
                <w:rFonts w:ascii="TH SarabunPSK" w:hAnsi="TH SarabunPSK" w:cs="TH SarabunPSK"/>
                <w:b/>
                <w:bCs/>
                <w:sz w:val="32"/>
                <w:szCs w:val="32"/>
              </w:rPr>
              <w:t>Number of research staff</w:t>
            </w:r>
          </w:p>
        </w:tc>
        <w:tc>
          <w:tcPr>
            <w:tcW w:w="8820" w:type="dxa"/>
            <w:tcBorders>
              <w:bottom w:val="single" w:sz="4" w:space="0" w:color="auto"/>
            </w:tcBorders>
          </w:tcPr>
          <w:p w:rsidR="00955BC6" w:rsidRPr="007D4DCF" w:rsidRDefault="00955BC6" w:rsidP="00955BC6">
            <w:pPr>
              <w:rPr>
                <w:rFonts w:ascii="TH SarabunPSK" w:hAnsi="TH SarabunPSK" w:cs="TH SarabunPSK"/>
                <w:sz w:val="32"/>
                <w:szCs w:val="32"/>
              </w:rPr>
            </w:pPr>
            <w:r w:rsidRPr="007D4DCF">
              <w:rPr>
                <w:rFonts w:ascii="TH SarabunPSK" w:hAnsi="TH SarabunPSK" w:cs="TH SarabunPSK"/>
                <w:sz w:val="32"/>
                <w:szCs w:val="32"/>
              </w:rPr>
              <w:t>This is the FTE number of people who are employed only to perform research. Typically they will not have a permanent post at a university; often they are contracted specifically for purposes of doing research or similar activity.</w:t>
            </w:r>
          </w:p>
          <w:p w:rsidR="00DF547A" w:rsidRPr="007D4DCF" w:rsidRDefault="00955BC6" w:rsidP="00451452">
            <w:pPr>
              <w:rPr>
                <w:rFonts w:ascii="TH SarabunPSK" w:hAnsi="TH SarabunPSK" w:cs="TH SarabunPSK"/>
                <w:sz w:val="32"/>
                <w:szCs w:val="32"/>
                <w:cs/>
              </w:rPr>
            </w:pPr>
            <w:r w:rsidRPr="007D4DCF">
              <w:rPr>
                <w:rFonts w:ascii="TH SarabunPSK" w:hAnsi="TH SarabunPSK" w:cs="TH SarabunPSK"/>
                <w:sz w:val="32"/>
                <w:szCs w:val="32"/>
              </w:rPr>
              <w:t>Notes: This will include researchers, research fellows and post-doctoral researchers. This will NOT include professors, lecturers, clinicians, technical staff, PhD students, or other students No attempt should be made to assign FTE based upon the ratio of work load.</w:t>
            </w:r>
          </w:p>
        </w:tc>
      </w:tr>
      <w:tr w:rsidR="00BC0B5C" w:rsidRPr="007D4DCF" w:rsidTr="007D4DCF">
        <w:tc>
          <w:tcPr>
            <w:tcW w:w="5040" w:type="dxa"/>
            <w:tcBorders>
              <w:bottom w:val="single" w:sz="4" w:space="0" w:color="auto"/>
            </w:tcBorders>
          </w:tcPr>
          <w:p w:rsidR="00BC0B5C" w:rsidRPr="007D4DCF" w:rsidRDefault="00BC0B5C" w:rsidP="00BC0B5C">
            <w:pPr>
              <w:pStyle w:val="ListParagraph"/>
              <w:numPr>
                <w:ilvl w:val="0"/>
                <w:numId w:val="1"/>
              </w:numPr>
              <w:rPr>
                <w:rFonts w:ascii="TH SarabunPSK" w:hAnsi="TH SarabunPSK" w:cs="TH SarabunPSK"/>
                <w:sz w:val="32"/>
                <w:szCs w:val="32"/>
              </w:rPr>
            </w:pPr>
            <w:r w:rsidRPr="007D4DCF">
              <w:rPr>
                <w:rFonts w:ascii="TH SarabunPSK" w:hAnsi="TH SarabunPSK" w:cs="TH SarabunPSK"/>
                <w:b/>
                <w:bCs/>
                <w:sz w:val="32"/>
                <w:szCs w:val="32"/>
                <w:cs/>
              </w:rPr>
              <w:t>จำนวนนักศึกษา</w:t>
            </w:r>
            <w:r w:rsidRPr="007D4DCF">
              <w:rPr>
                <w:rFonts w:ascii="TH SarabunPSK" w:hAnsi="TH SarabunPSK" w:cs="TH SarabunPSK"/>
                <w:b/>
                <w:bCs/>
                <w:sz w:val="32"/>
                <w:szCs w:val="32"/>
                <w:cs/>
              </w:rPr>
              <w:t>ทั้งหมด</w:t>
            </w:r>
            <w:r w:rsidRPr="007D4DCF">
              <w:rPr>
                <w:rFonts w:ascii="TH SarabunPSK" w:hAnsi="TH SarabunPSK" w:cs="TH SarabunPSK"/>
                <w:b/>
                <w:bCs/>
                <w:sz w:val="32"/>
                <w:szCs w:val="32"/>
              </w:rPr>
              <w:t xml:space="preserve"> Number of students</w:t>
            </w:r>
          </w:p>
          <w:p w:rsidR="00BC0B5C" w:rsidRPr="007D4DCF" w:rsidRDefault="00BC0B5C" w:rsidP="00BC0B5C">
            <w:pPr>
              <w:pStyle w:val="ListParagraph"/>
              <w:numPr>
                <w:ilvl w:val="1"/>
                <w:numId w:val="1"/>
              </w:numPr>
              <w:rPr>
                <w:rFonts w:ascii="TH SarabunPSK" w:hAnsi="TH SarabunPSK" w:cs="TH SarabunPSK"/>
                <w:sz w:val="32"/>
                <w:szCs w:val="32"/>
              </w:rPr>
            </w:pPr>
            <w:r w:rsidRPr="007D4DCF">
              <w:rPr>
                <w:rFonts w:ascii="TH SarabunPSK" w:hAnsi="TH SarabunPSK" w:cs="TH SarabunPSK"/>
                <w:sz w:val="32"/>
                <w:szCs w:val="32"/>
                <w:cs/>
              </w:rPr>
              <w:t>นศ.ต่างชาติ</w:t>
            </w:r>
          </w:p>
          <w:p w:rsidR="00BC0B5C" w:rsidRPr="007D4DCF" w:rsidRDefault="00BC0B5C" w:rsidP="00BC0B5C">
            <w:pPr>
              <w:pStyle w:val="ListParagraph"/>
              <w:numPr>
                <w:ilvl w:val="1"/>
                <w:numId w:val="1"/>
              </w:numPr>
              <w:rPr>
                <w:rFonts w:ascii="TH SarabunPSK" w:hAnsi="TH SarabunPSK" w:cs="TH SarabunPSK"/>
                <w:sz w:val="32"/>
                <w:szCs w:val="32"/>
                <w:cs/>
              </w:rPr>
            </w:pPr>
            <w:r w:rsidRPr="007D4DCF">
              <w:rPr>
                <w:rFonts w:ascii="TH SarabunPSK" w:hAnsi="TH SarabunPSK" w:cs="TH SarabunPSK"/>
                <w:sz w:val="32"/>
                <w:szCs w:val="32"/>
                <w:cs/>
              </w:rPr>
              <w:t>เพศหญิง</w:t>
            </w:r>
          </w:p>
        </w:tc>
        <w:tc>
          <w:tcPr>
            <w:tcW w:w="8820" w:type="dxa"/>
            <w:tcBorders>
              <w:bottom w:val="single" w:sz="4" w:space="0" w:color="auto"/>
            </w:tcBorders>
          </w:tcPr>
          <w:p w:rsidR="00BC0B5C" w:rsidRPr="007D4DCF" w:rsidRDefault="00BC0B5C" w:rsidP="00BC0B5C">
            <w:pPr>
              <w:rPr>
                <w:rFonts w:ascii="TH SarabunPSK" w:hAnsi="TH SarabunPSK" w:cs="TH SarabunPSK"/>
                <w:sz w:val="32"/>
                <w:szCs w:val="32"/>
              </w:rPr>
            </w:pPr>
            <w:r w:rsidRPr="007D4DCF">
              <w:rPr>
                <w:rFonts w:ascii="TH SarabunPSK" w:hAnsi="TH SarabunPSK" w:cs="TH SarabunPSK"/>
                <w:sz w:val="32"/>
                <w:szCs w:val="32"/>
              </w:rPr>
              <w:t>This is the FTE number of students of all programs that lead to a degree, certificate, institutional credit or other qualification. It will include students of all years of study.</w:t>
            </w:r>
          </w:p>
          <w:p w:rsidR="00BC0B5C" w:rsidRPr="007D4DCF" w:rsidRDefault="00BC0B5C" w:rsidP="00BC0B5C">
            <w:pPr>
              <w:rPr>
                <w:rFonts w:ascii="TH SarabunPSK" w:hAnsi="TH SarabunPSK" w:cs="TH SarabunPSK"/>
                <w:sz w:val="32"/>
                <w:szCs w:val="32"/>
              </w:rPr>
            </w:pPr>
            <w:r w:rsidRPr="007D4DCF">
              <w:rPr>
                <w:rFonts w:ascii="TH SarabunPSK" w:hAnsi="TH SarabunPSK" w:cs="TH SarabunPSK"/>
                <w:sz w:val="32"/>
                <w:szCs w:val="32"/>
              </w:rPr>
              <w:t>Notes: Typically these will be undergraduate and postgraduate students who are studying for Higher Education programs such as Bachelors, Masters or Doctoral or other equivalent degrees or components of those programs. It will include visiting/exchange students who are studying for programs that result in credits at your institution (i.e. incoming students). But it will not include exchange students who are currently studying at another institution (i.e. outgoing exchange students, who are not currently studying for credits at your institution) It will NOT include students who are not currently active. It will NOT include post-doctoral students.</w:t>
            </w:r>
          </w:p>
          <w:p w:rsidR="00BC0B5C" w:rsidRPr="007D4DCF" w:rsidRDefault="00BC0B5C" w:rsidP="00BC0B5C">
            <w:pPr>
              <w:rPr>
                <w:rFonts w:ascii="TH SarabunPSK" w:hAnsi="TH SarabunPSK" w:cs="TH SarabunPSK"/>
                <w:sz w:val="32"/>
                <w:szCs w:val="32"/>
              </w:rPr>
            </w:pPr>
            <w:r w:rsidRPr="007D4DCF">
              <w:rPr>
                <w:rFonts w:ascii="TH SarabunPSK" w:hAnsi="TH SarabunPSK" w:cs="TH SarabunPSK"/>
                <w:sz w:val="32"/>
                <w:szCs w:val="32"/>
              </w:rPr>
              <w:t>Of which are international/overseas origin</w:t>
            </w:r>
          </w:p>
          <w:p w:rsidR="00BC0B5C" w:rsidRPr="007D4DCF" w:rsidRDefault="00BC0B5C" w:rsidP="00BC0B5C">
            <w:pPr>
              <w:rPr>
                <w:rFonts w:ascii="TH SarabunPSK" w:hAnsi="TH SarabunPSK" w:cs="TH SarabunPSK"/>
                <w:sz w:val="32"/>
                <w:szCs w:val="32"/>
              </w:rPr>
            </w:pPr>
            <w:r w:rsidRPr="007D4DCF">
              <w:rPr>
                <w:rFonts w:ascii="TH SarabunPSK" w:hAnsi="TH SarabunPSK" w:cs="TH SarabunPSK"/>
                <w:sz w:val="32"/>
                <w:szCs w:val="32"/>
              </w:rPr>
              <w:t>The FTE number of “students” (see above) whose nationality is different from the country in which your institution is based.</w:t>
            </w:r>
          </w:p>
          <w:p w:rsidR="00BC0B5C" w:rsidRPr="007D4DCF" w:rsidRDefault="00BC0B5C" w:rsidP="00BC0B5C">
            <w:pPr>
              <w:rPr>
                <w:rFonts w:ascii="TH SarabunPSK" w:hAnsi="TH SarabunPSK" w:cs="TH SarabunPSK"/>
                <w:sz w:val="32"/>
                <w:szCs w:val="32"/>
              </w:rPr>
            </w:pPr>
            <w:r w:rsidRPr="007D4DCF">
              <w:rPr>
                <w:rFonts w:ascii="TH SarabunPSK" w:hAnsi="TH SarabunPSK" w:cs="TH SarabunPSK"/>
                <w:sz w:val="32"/>
                <w:szCs w:val="32"/>
              </w:rPr>
              <w:t>This will not include naturalized citizens.</w:t>
            </w:r>
          </w:p>
          <w:p w:rsidR="00BC0B5C" w:rsidRPr="007D4DCF" w:rsidRDefault="00BC0B5C" w:rsidP="00BC0B5C">
            <w:pPr>
              <w:rPr>
                <w:rFonts w:ascii="TH SarabunPSK" w:hAnsi="TH SarabunPSK" w:cs="TH SarabunPSK"/>
                <w:sz w:val="32"/>
                <w:szCs w:val="32"/>
              </w:rPr>
            </w:pPr>
            <w:r w:rsidRPr="007D4DCF">
              <w:rPr>
                <w:rFonts w:ascii="TH SarabunPSK" w:hAnsi="TH SarabunPSK" w:cs="TH SarabunPSK"/>
                <w:sz w:val="32"/>
                <w:szCs w:val="32"/>
              </w:rPr>
              <w:t>Of which are women</w:t>
            </w:r>
          </w:p>
          <w:p w:rsidR="00BC0B5C" w:rsidRPr="007D4DCF" w:rsidRDefault="00BC0B5C" w:rsidP="00BC0B5C">
            <w:pPr>
              <w:rPr>
                <w:rFonts w:ascii="TH SarabunPSK" w:hAnsi="TH SarabunPSK" w:cs="TH SarabunPSK"/>
                <w:sz w:val="32"/>
                <w:szCs w:val="32"/>
                <w:cs/>
              </w:rPr>
            </w:pPr>
            <w:r w:rsidRPr="007D4DCF">
              <w:rPr>
                <w:rFonts w:ascii="TH SarabunPSK" w:hAnsi="TH SarabunPSK" w:cs="TH SarabunPSK"/>
                <w:sz w:val="32"/>
                <w:szCs w:val="32"/>
              </w:rPr>
              <w:t>The FTE number of “students” (see above) that are women.</w:t>
            </w:r>
          </w:p>
        </w:tc>
      </w:tr>
      <w:tr w:rsidR="00657D87" w:rsidRPr="007D4DCF" w:rsidTr="007D4DCF">
        <w:tc>
          <w:tcPr>
            <w:tcW w:w="5040" w:type="dxa"/>
            <w:tcBorders>
              <w:top w:val="single" w:sz="4" w:space="0" w:color="auto"/>
              <w:bottom w:val="single" w:sz="4" w:space="0" w:color="auto"/>
            </w:tcBorders>
          </w:tcPr>
          <w:p w:rsidR="00657D87" w:rsidRPr="007D4DCF" w:rsidRDefault="00657D87" w:rsidP="00657D87">
            <w:pPr>
              <w:pStyle w:val="ListParagraph"/>
              <w:numPr>
                <w:ilvl w:val="0"/>
                <w:numId w:val="1"/>
              </w:numPr>
              <w:rPr>
                <w:rFonts w:ascii="TH SarabunPSK" w:hAnsi="TH SarabunPSK" w:cs="TH SarabunPSK"/>
                <w:sz w:val="32"/>
                <w:szCs w:val="32"/>
              </w:rPr>
            </w:pPr>
            <w:r w:rsidRPr="007D4DCF">
              <w:rPr>
                <w:rFonts w:ascii="TH SarabunPSK" w:hAnsi="TH SarabunPSK" w:cs="TH SarabunPSK"/>
                <w:b/>
                <w:bCs/>
                <w:sz w:val="32"/>
                <w:szCs w:val="32"/>
                <w:cs/>
              </w:rPr>
              <w:t>จำนวนนักศึกษาใหม่ระดับปริญญาตรี</w:t>
            </w:r>
            <w:r w:rsidRPr="007D4DCF">
              <w:rPr>
                <w:rFonts w:ascii="TH SarabunPSK" w:hAnsi="TH SarabunPSK" w:cs="TH SarabunPSK"/>
                <w:b/>
                <w:bCs/>
                <w:sz w:val="32"/>
                <w:szCs w:val="32"/>
              </w:rPr>
              <w:t xml:space="preserve"> </w:t>
            </w:r>
            <w:r w:rsidRPr="007D4DCF">
              <w:rPr>
                <w:rFonts w:ascii="TH SarabunPSK" w:hAnsi="TH SarabunPSK" w:cs="TH SarabunPSK"/>
                <w:b/>
                <w:bCs/>
                <w:sz w:val="32"/>
                <w:szCs w:val="32"/>
              </w:rPr>
              <w:t>Undergraduate - new student intake</w:t>
            </w:r>
          </w:p>
          <w:p w:rsidR="00657D87" w:rsidRPr="007D4DCF" w:rsidRDefault="00657D87" w:rsidP="00657D87">
            <w:pPr>
              <w:pStyle w:val="ListParagraph"/>
              <w:numPr>
                <w:ilvl w:val="1"/>
                <w:numId w:val="1"/>
              </w:numPr>
              <w:rPr>
                <w:rFonts w:ascii="TH SarabunPSK" w:hAnsi="TH SarabunPSK" w:cs="TH SarabunPSK"/>
                <w:sz w:val="32"/>
                <w:szCs w:val="32"/>
              </w:rPr>
            </w:pPr>
            <w:r w:rsidRPr="007D4DCF">
              <w:rPr>
                <w:rFonts w:ascii="TH SarabunPSK" w:hAnsi="TH SarabunPSK" w:cs="TH SarabunPSK"/>
                <w:sz w:val="32"/>
                <w:szCs w:val="32"/>
                <w:cs/>
              </w:rPr>
              <w:t>ชาวต่างชาติ</w:t>
            </w:r>
          </w:p>
          <w:p w:rsidR="00657D87" w:rsidRPr="007D4DCF" w:rsidRDefault="00657D87" w:rsidP="00657D87">
            <w:pPr>
              <w:pStyle w:val="ListParagraph"/>
              <w:numPr>
                <w:ilvl w:val="1"/>
                <w:numId w:val="1"/>
              </w:numPr>
              <w:rPr>
                <w:rFonts w:ascii="TH SarabunPSK" w:hAnsi="TH SarabunPSK" w:cs="TH SarabunPSK"/>
                <w:sz w:val="32"/>
                <w:szCs w:val="32"/>
              </w:rPr>
            </w:pPr>
            <w:r w:rsidRPr="007D4DCF">
              <w:rPr>
                <w:rFonts w:ascii="TH SarabunPSK" w:hAnsi="TH SarabunPSK" w:cs="TH SarabunPSK"/>
                <w:sz w:val="32"/>
                <w:szCs w:val="32"/>
                <w:cs/>
              </w:rPr>
              <w:t>เพศหญิง</w:t>
            </w:r>
          </w:p>
        </w:tc>
        <w:tc>
          <w:tcPr>
            <w:tcW w:w="8820" w:type="dxa"/>
            <w:tcBorders>
              <w:top w:val="single" w:sz="4" w:space="0" w:color="auto"/>
              <w:bottom w:val="single" w:sz="4" w:space="0" w:color="auto"/>
            </w:tcBorders>
          </w:tcPr>
          <w:p w:rsidR="00657D87" w:rsidRPr="007D4DCF" w:rsidRDefault="00657D87" w:rsidP="00657D87">
            <w:pPr>
              <w:rPr>
                <w:rFonts w:ascii="TH SarabunPSK" w:hAnsi="TH SarabunPSK" w:cs="TH SarabunPSK"/>
                <w:sz w:val="32"/>
                <w:szCs w:val="32"/>
              </w:rPr>
            </w:pPr>
            <w:r w:rsidRPr="007D4DCF">
              <w:rPr>
                <w:rFonts w:ascii="TH SarabunPSK" w:hAnsi="TH SarabunPSK" w:cs="TH SarabunPSK"/>
                <w:sz w:val="32"/>
                <w:szCs w:val="32"/>
              </w:rPr>
              <w:t>This is the FTE number of students entering the institution, or this level of education, for the first time during this year for a taught program that is the first significant stage of your institution’s academic program.</w:t>
            </w:r>
          </w:p>
          <w:p w:rsidR="00657D87" w:rsidRPr="007D4DCF" w:rsidRDefault="00657D87" w:rsidP="00657D87">
            <w:pPr>
              <w:rPr>
                <w:rFonts w:ascii="TH SarabunPSK" w:hAnsi="TH SarabunPSK" w:cs="TH SarabunPSK"/>
                <w:sz w:val="32"/>
                <w:szCs w:val="32"/>
              </w:rPr>
            </w:pPr>
            <w:r w:rsidRPr="007D4DCF">
              <w:rPr>
                <w:rFonts w:ascii="TH SarabunPSK" w:hAnsi="TH SarabunPSK" w:cs="TH SarabunPSK"/>
                <w:sz w:val="32"/>
                <w:szCs w:val="32"/>
              </w:rPr>
              <w:t xml:space="preserve">Notes: This will only include significant programs; typically they will be 3 or more years in length. This will include students for Bachelors and other equivalent degrees This is the equivalent to UNESCO ISCED-2011 Level 6. This will include students who are entering the institution for the first time, and those who are entering this level of education for the first time (e.g. those students who are moving from a lower level of education to a </w:t>
            </w:r>
            <w:proofErr w:type="spellStart"/>
            <w:r w:rsidRPr="007D4DCF">
              <w:rPr>
                <w:rFonts w:ascii="TH SarabunPSK" w:hAnsi="TH SarabunPSK" w:cs="TH SarabunPSK"/>
                <w:sz w:val="32"/>
                <w:szCs w:val="32"/>
              </w:rPr>
              <w:t>bachelors</w:t>
            </w:r>
            <w:proofErr w:type="spellEnd"/>
            <w:r w:rsidRPr="007D4DCF">
              <w:rPr>
                <w:rFonts w:ascii="TH SarabunPSK" w:hAnsi="TH SarabunPSK" w:cs="TH SarabunPSK"/>
                <w:sz w:val="32"/>
                <w:szCs w:val="32"/>
              </w:rPr>
              <w:t xml:space="preserve"> degree) This will include students studying for a Master’s or </w:t>
            </w:r>
            <w:proofErr w:type="spellStart"/>
            <w:r w:rsidRPr="007D4DCF">
              <w:rPr>
                <w:rFonts w:ascii="TH SarabunPSK" w:hAnsi="TH SarabunPSK" w:cs="TH SarabunPSK"/>
                <w:sz w:val="32"/>
                <w:szCs w:val="32"/>
              </w:rPr>
              <w:t>diplom</w:t>
            </w:r>
            <w:proofErr w:type="spellEnd"/>
            <w:r w:rsidRPr="007D4DCF">
              <w:rPr>
                <w:rFonts w:ascii="TH SarabunPSK" w:hAnsi="TH SarabunPSK" w:cs="TH SarabunPSK"/>
                <w:sz w:val="32"/>
                <w:szCs w:val="32"/>
              </w:rPr>
              <w:t xml:space="preserve"> (or other equivalent) program where the Bachelor’s degree is included as part of the course and results in a single qualification. This will NOT include students doing a master’s degree or other post-graduate degree (except as part of a joint bachelor’s program as listed above), PhD students, or students of programs for occupational skills Note on double reporting: In the case that students studying a joint bachelor’s/master’s degree program that receive 2 qualifications (e.g. Bachelor’s Degree AND a Master’s degree) you should ONLY report the Bachelor’s component and the Master’s component should be ignored. In the case that a single qualification is awarded then this qualification should be reported even if it is a Master’s degree. Remember that we are asking for the “a taught program that is the first significant stage of your institution’s academic program”.</w:t>
            </w:r>
          </w:p>
          <w:p w:rsidR="00657D87" w:rsidRPr="007D4DCF" w:rsidRDefault="00657D87" w:rsidP="00657D87">
            <w:pPr>
              <w:rPr>
                <w:rFonts w:ascii="TH SarabunPSK" w:hAnsi="TH SarabunPSK" w:cs="TH SarabunPSK"/>
                <w:sz w:val="32"/>
                <w:szCs w:val="32"/>
              </w:rPr>
            </w:pPr>
            <w:r w:rsidRPr="007D4DCF">
              <w:rPr>
                <w:rFonts w:ascii="TH SarabunPSK" w:hAnsi="TH SarabunPSK" w:cs="TH SarabunPSK"/>
                <w:sz w:val="32"/>
                <w:szCs w:val="32"/>
              </w:rPr>
              <w:t>Of which are international/overseas origin</w:t>
            </w:r>
          </w:p>
          <w:p w:rsidR="00657D87" w:rsidRPr="007D4DCF" w:rsidRDefault="00657D87" w:rsidP="00657D87">
            <w:pPr>
              <w:rPr>
                <w:rFonts w:ascii="TH SarabunPSK" w:hAnsi="TH SarabunPSK" w:cs="TH SarabunPSK"/>
                <w:sz w:val="32"/>
                <w:szCs w:val="32"/>
              </w:rPr>
            </w:pPr>
            <w:r w:rsidRPr="007D4DCF">
              <w:rPr>
                <w:rFonts w:ascii="TH SarabunPSK" w:hAnsi="TH SarabunPSK" w:cs="TH SarabunPSK"/>
                <w:sz w:val="32"/>
                <w:szCs w:val="32"/>
              </w:rPr>
              <w:t>The FTE number of “Undergraduate – new student intake” (see above) whose nationality is different from the country in which your institution is based.</w:t>
            </w:r>
          </w:p>
          <w:p w:rsidR="00657D87" w:rsidRPr="007D4DCF" w:rsidRDefault="00657D87" w:rsidP="00657D87">
            <w:pPr>
              <w:rPr>
                <w:rFonts w:ascii="TH SarabunPSK" w:hAnsi="TH SarabunPSK" w:cs="TH SarabunPSK"/>
                <w:sz w:val="32"/>
                <w:szCs w:val="32"/>
              </w:rPr>
            </w:pPr>
            <w:r w:rsidRPr="007D4DCF">
              <w:rPr>
                <w:rFonts w:ascii="TH SarabunPSK" w:hAnsi="TH SarabunPSK" w:cs="TH SarabunPSK"/>
                <w:sz w:val="32"/>
                <w:szCs w:val="32"/>
              </w:rPr>
              <w:t>This will not include naturalized citizens.</w:t>
            </w:r>
          </w:p>
          <w:p w:rsidR="00657D87" w:rsidRPr="007D4DCF" w:rsidRDefault="00657D87" w:rsidP="00657D87">
            <w:pPr>
              <w:rPr>
                <w:rFonts w:ascii="TH SarabunPSK" w:hAnsi="TH SarabunPSK" w:cs="TH SarabunPSK"/>
                <w:sz w:val="32"/>
                <w:szCs w:val="32"/>
              </w:rPr>
            </w:pPr>
            <w:r w:rsidRPr="007D4DCF">
              <w:rPr>
                <w:rFonts w:ascii="TH SarabunPSK" w:hAnsi="TH SarabunPSK" w:cs="TH SarabunPSK"/>
                <w:sz w:val="32"/>
                <w:szCs w:val="32"/>
              </w:rPr>
              <w:t>Of which are women</w:t>
            </w:r>
          </w:p>
          <w:p w:rsidR="00657D87" w:rsidRPr="007D4DCF" w:rsidRDefault="00657D87" w:rsidP="00657D87">
            <w:pPr>
              <w:rPr>
                <w:rFonts w:ascii="TH SarabunPSK" w:hAnsi="TH SarabunPSK" w:cs="TH SarabunPSK"/>
                <w:sz w:val="32"/>
                <w:szCs w:val="32"/>
                <w:cs/>
              </w:rPr>
            </w:pPr>
            <w:r w:rsidRPr="007D4DCF">
              <w:rPr>
                <w:rFonts w:ascii="TH SarabunPSK" w:hAnsi="TH SarabunPSK" w:cs="TH SarabunPSK"/>
                <w:sz w:val="32"/>
                <w:szCs w:val="32"/>
              </w:rPr>
              <w:t>The FTE number of “Undergraduate – new student intake” (see above) that are women.</w:t>
            </w:r>
          </w:p>
        </w:tc>
      </w:tr>
      <w:tr w:rsidR="00657D87" w:rsidRPr="007D4DCF" w:rsidTr="00466236">
        <w:tc>
          <w:tcPr>
            <w:tcW w:w="5040" w:type="dxa"/>
            <w:tcBorders>
              <w:top w:val="single" w:sz="4" w:space="0" w:color="auto"/>
              <w:bottom w:val="single" w:sz="4" w:space="0" w:color="auto"/>
            </w:tcBorders>
          </w:tcPr>
          <w:p w:rsidR="00657D87" w:rsidRPr="007D4DCF" w:rsidRDefault="00657D87" w:rsidP="00657D87">
            <w:pPr>
              <w:pStyle w:val="ListParagraph"/>
              <w:numPr>
                <w:ilvl w:val="0"/>
                <w:numId w:val="1"/>
              </w:numPr>
              <w:rPr>
                <w:rFonts w:ascii="TH SarabunPSK" w:hAnsi="TH SarabunPSK" w:cs="TH SarabunPSK"/>
                <w:sz w:val="32"/>
                <w:szCs w:val="32"/>
              </w:rPr>
            </w:pPr>
            <w:r w:rsidRPr="007D4DCF">
              <w:rPr>
                <w:rFonts w:ascii="TH SarabunPSK" w:hAnsi="TH SarabunPSK" w:cs="TH SarabunPSK"/>
                <w:b/>
                <w:bCs/>
                <w:sz w:val="32"/>
                <w:szCs w:val="32"/>
                <w:cs/>
              </w:rPr>
              <w:t>จำนวนผู้สำเร็จการศึกษาระดับปริญญาตรี</w:t>
            </w:r>
            <w:r w:rsidRPr="007D4DCF">
              <w:rPr>
                <w:rFonts w:ascii="TH SarabunPSK" w:hAnsi="TH SarabunPSK" w:cs="TH SarabunPSK"/>
                <w:b/>
                <w:bCs/>
                <w:sz w:val="32"/>
                <w:szCs w:val="32"/>
              </w:rPr>
              <w:t xml:space="preserve"> </w:t>
            </w:r>
            <w:r w:rsidRPr="007D4DCF">
              <w:rPr>
                <w:rFonts w:ascii="TH SarabunPSK" w:hAnsi="TH SarabunPSK" w:cs="TH SarabunPSK"/>
                <w:b/>
                <w:bCs/>
                <w:sz w:val="32"/>
                <w:szCs w:val="32"/>
              </w:rPr>
              <w:t>Number of undergraduate degrees awarded (Number of Bachelor degrees awarded)</w:t>
            </w:r>
          </w:p>
        </w:tc>
        <w:tc>
          <w:tcPr>
            <w:tcW w:w="8820" w:type="dxa"/>
            <w:tcBorders>
              <w:top w:val="single" w:sz="4" w:space="0" w:color="auto"/>
              <w:bottom w:val="single" w:sz="4" w:space="0" w:color="auto"/>
            </w:tcBorders>
          </w:tcPr>
          <w:p w:rsidR="00657D87" w:rsidRPr="007D4DCF" w:rsidRDefault="00657D87" w:rsidP="00657D87">
            <w:pPr>
              <w:rPr>
                <w:rFonts w:ascii="TH SarabunPSK" w:hAnsi="TH SarabunPSK" w:cs="TH SarabunPSK"/>
                <w:sz w:val="32"/>
                <w:szCs w:val="32"/>
              </w:rPr>
            </w:pPr>
            <w:r w:rsidRPr="007D4DCF">
              <w:rPr>
                <w:rFonts w:ascii="TH SarabunPSK" w:hAnsi="TH SarabunPSK" w:cs="TH SarabunPSK"/>
                <w:sz w:val="32"/>
                <w:szCs w:val="32"/>
              </w:rPr>
              <w:t>This is number of degrees awarded during this year for a taught program that is the first significant stage of your institution’s academic program.</w:t>
            </w:r>
          </w:p>
          <w:p w:rsidR="00657D87" w:rsidRPr="007D4DCF" w:rsidRDefault="00657D87" w:rsidP="00657D87">
            <w:pPr>
              <w:rPr>
                <w:rFonts w:ascii="TH SarabunPSK" w:hAnsi="TH SarabunPSK" w:cs="TH SarabunPSK"/>
                <w:sz w:val="32"/>
                <w:szCs w:val="32"/>
                <w:cs/>
              </w:rPr>
            </w:pPr>
            <w:r w:rsidRPr="007D4DCF">
              <w:rPr>
                <w:rFonts w:ascii="TH SarabunPSK" w:hAnsi="TH SarabunPSK" w:cs="TH SarabunPSK"/>
                <w:sz w:val="32"/>
                <w:szCs w:val="32"/>
              </w:rPr>
              <w:t xml:space="preserve">Notes: This will only include significant programs; typically they will be 3 or more years in length. This will include Bachelors and other equivalent degrees This is the equivalent to UNESCO ISCED-2011 Level 6. This will include Master’s or </w:t>
            </w:r>
            <w:proofErr w:type="spellStart"/>
            <w:r w:rsidRPr="007D4DCF">
              <w:rPr>
                <w:rFonts w:ascii="TH SarabunPSK" w:hAnsi="TH SarabunPSK" w:cs="TH SarabunPSK"/>
                <w:sz w:val="32"/>
                <w:szCs w:val="32"/>
              </w:rPr>
              <w:t>diplom</w:t>
            </w:r>
            <w:proofErr w:type="spellEnd"/>
            <w:r w:rsidRPr="007D4DCF">
              <w:rPr>
                <w:rFonts w:ascii="TH SarabunPSK" w:hAnsi="TH SarabunPSK" w:cs="TH SarabunPSK"/>
                <w:sz w:val="32"/>
                <w:szCs w:val="32"/>
              </w:rPr>
              <w:t xml:space="preserve"> (or other equivalent) degree where the Bachelor’s degree is included as part of the course and results in a single qualification. This will NOT include individual Master’s degree, PhDs, or </w:t>
            </w:r>
            <w:proofErr w:type="spellStart"/>
            <w:r w:rsidRPr="007D4DCF">
              <w:rPr>
                <w:rFonts w:ascii="TH SarabunPSK" w:hAnsi="TH SarabunPSK" w:cs="TH SarabunPSK"/>
                <w:sz w:val="32"/>
                <w:szCs w:val="32"/>
              </w:rPr>
              <w:t>programmes</w:t>
            </w:r>
            <w:proofErr w:type="spellEnd"/>
            <w:r w:rsidRPr="007D4DCF">
              <w:rPr>
                <w:rFonts w:ascii="TH SarabunPSK" w:hAnsi="TH SarabunPSK" w:cs="TH SarabunPSK"/>
                <w:sz w:val="32"/>
                <w:szCs w:val="32"/>
              </w:rPr>
              <w:t xml:space="preserve"> for occupational skills.</w:t>
            </w:r>
          </w:p>
        </w:tc>
      </w:tr>
      <w:tr w:rsidR="00657D87" w:rsidRPr="007D4DCF" w:rsidTr="007D4DCF">
        <w:tc>
          <w:tcPr>
            <w:tcW w:w="5040" w:type="dxa"/>
            <w:tcBorders>
              <w:bottom w:val="nil"/>
            </w:tcBorders>
          </w:tcPr>
          <w:p w:rsidR="00657D87" w:rsidRPr="007D4DCF" w:rsidRDefault="00657D87" w:rsidP="00657D87">
            <w:pPr>
              <w:pStyle w:val="ListParagraph"/>
              <w:numPr>
                <w:ilvl w:val="0"/>
                <w:numId w:val="1"/>
              </w:numPr>
              <w:rPr>
                <w:rFonts w:ascii="TH SarabunPSK" w:hAnsi="TH SarabunPSK" w:cs="TH SarabunPSK"/>
                <w:sz w:val="32"/>
                <w:szCs w:val="32"/>
              </w:rPr>
            </w:pPr>
            <w:r w:rsidRPr="007D4DCF">
              <w:rPr>
                <w:rFonts w:ascii="TH SarabunPSK" w:hAnsi="TH SarabunPSK" w:cs="TH SarabunPSK"/>
                <w:b/>
                <w:bCs/>
                <w:sz w:val="32"/>
                <w:szCs w:val="32"/>
                <w:cs/>
              </w:rPr>
              <w:t>จำนวนนักศึกษาใหม่ระดับปริญญาโท หรือเทียบเท่า</w:t>
            </w:r>
            <w:r w:rsidRPr="007D4DCF">
              <w:rPr>
                <w:rFonts w:ascii="TH SarabunPSK" w:hAnsi="TH SarabunPSK" w:cs="TH SarabunPSK"/>
                <w:b/>
                <w:bCs/>
                <w:sz w:val="32"/>
                <w:szCs w:val="32"/>
              </w:rPr>
              <w:t xml:space="preserve"> </w:t>
            </w:r>
            <w:r w:rsidRPr="007D4DCF">
              <w:rPr>
                <w:rFonts w:ascii="TH SarabunPSK" w:hAnsi="TH SarabunPSK" w:cs="TH SarabunPSK"/>
                <w:b/>
                <w:bCs/>
                <w:sz w:val="32"/>
                <w:szCs w:val="32"/>
              </w:rPr>
              <w:t>Master or equivalent – new student intake</w:t>
            </w:r>
          </w:p>
          <w:p w:rsidR="00657D87" w:rsidRPr="007D4DCF" w:rsidRDefault="00657D87" w:rsidP="00657D87">
            <w:pPr>
              <w:pStyle w:val="ListParagraph"/>
              <w:numPr>
                <w:ilvl w:val="1"/>
                <w:numId w:val="1"/>
              </w:numPr>
              <w:rPr>
                <w:rFonts w:ascii="TH SarabunPSK" w:hAnsi="TH SarabunPSK" w:cs="TH SarabunPSK"/>
                <w:sz w:val="32"/>
                <w:szCs w:val="32"/>
              </w:rPr>
            </w:pPr>
            <w:r w:rsidRPr="007D4DCF">
              <w:rPr>
                <w:rFonts w:ascii="TH SarabunPSK" w:hAnsi="TH SarabunPSK" w:cs="TH SarabunPSK"/>
                <w:sz w:val="32"/>
                <w:szCs w:val="32"/>
                <w:cs/>
              </w:rPr>
              <w:t>ชาวต่างชาติ</w:t>
            </w:r>
          </w:p>
          <w:p w:rsidR="00657D87" w:rsidRPr="007D4DCF" w:rsidRDefault="00657D87" w:rsidP="00657D87">
            <w:pPr>
              <w:pStyle w:val="ListParagraph"/>
              <w:numPr>
                <w:ilvl w:val="1"/>
                <w:numId w:val="1"/>
              </w:numPr>
              <w:rPr>
                <w:rFonts w:ascii="TH SarabunPSK" w:hAnsi="TH SarabunPSK" w:cs="TH SarabunPSK"/>
                <w:sz w:val="32"/>
                <w:szCs w:val="32"/>
              </w:rPr>
            </w:pPr>
            <w:r w:rsidRPr="007D4DCF">
              <w:rPr>
                <w:rFonts w:ascii="TH SarabunPSK" w:hAnsi="TH SarabunPSK" w:cs="TH SarabunPSK"/>
                <w:sz w:val="32"/>
                <w:szCs w:val="32"/>
                <w:cs/>
              </w:rPr>
              <w:t>เพศหญิง</w:t>
            </w:r>
          </w:p>
        </w:tc>
        <w:tc>
          <w:tcPr>
            <w:tcW w:w="8820" w:type="dxa"/>
            <w:tcBorders>
              <w:bottom w:val="nil"/>
            </w:tcBorders>
          </w:tcPr>
          <w:p w:rsidR="00657D87" w:rsidRPr="007D4DCF" w:rsidRDefault="00657D87" w:rsidP="00657D87">
            <w:pPr>
              <w:rPr>
                <w:rFonts w:ascii="TH SarabunPSK" w:hAnsi="TH SarabunPSK" w:cs="TH SarabunPSK"/>
                <w:sz w:val="32"/>
                <w:szCs w:val="32"/>
              </w:rPr>
            </w:pPr>
            <w:r w:rsidRPr="007D4DCF">
              <w:rPr>
                <w:rFonts w:ascii="TH SarabunPSK" w:hAnsi="TH SarabunPSK" w:cs="TH SarabunPSK"/>
                <w:sz w:val="32"/>
                <w:szCs w:val="32"/>
              </w:rPr>
              <w:t>The FTE number of students entering the institution, or this level of education, for the first time during this year at the level of a master’s or equivalent degree program.</w:t>
            </w:r>
          </w:p>
          <w:p w:rsidR="00657D87" w:rsidRPr="007D4DCF" w:rsidRDefault="00657D87" w:rsidP="00657D87">
            <w:pPr>
              <w:rPr>
                <w:rFonts w:ascii="TH SarabunPSK" w:hAnsi="TH SarabunPSK" w:cs="TH SarabunPSK"/>
                <w:sz w:val="32"/>
                <w:szCs w:val="32"/>
              </w:rPr>
            </w:pPr>
            <w:r w:rsidRPr="007D4DCF">
              <w:rPr>
                <w:rFonts w:ascii="TH SarabunPSK" w:hAnsi="TH SarabunPSK" w:cs="TH SarabunPSK"/>
                <w:sz w:val="32"/>
                <w:szCs w:val="32"/>
              </w:rPr>
              <w:t>Notes: This is the equivalent to UNESCO ISCED-2011 Level 7. These programs typically lead to an advanced academic or professional qualification. Usually they are the second degree in tertiary education and they will have a “Bachelor’s” or equivalent degree as an entry requirement. Some examples include: MA, MEng, MS, MSc and MBA. Master’s degrees may be course based or research based. Research based programs that lead to a doctoral qualification should not be included. This will only include significant programs; typically they will require two years or more of study, but in some regions may be one year in length. This will include students who are entering the institution at this level for the first time and those who are moving from a lower level of education. Programs of five or more year’s duration preparing for a first degree/qualification should be included in this level if equivalent to master level program in terms of the complexity of content. This will include students studying for “</w:t>
            </w:r>
            <w:proofErr w:type="spellStart"/>
            <w:r w:rsidRPr="007D4DCF">
              <w:rPr>
                <w:rFonts w:ascii="TH SarabunPSK" w:hAnsi="TH SarabunPSK" w:cs="TH SarabunPSK"/>
                <w:sz w:val="32"/>
                <w:szCs w:val="32"/>
              </w:rPr>
              <w:t>diplom</w:t>
            </w:r>
            <w:proofErr w:type="spellEnd"/>
            <w:r w:rsidRPr="007D4DCF">
              <w:rPr>
                <w:rFonts w:ascii="TH SarabunPSK" w:hAnsi="TH SarabunPSK" w:cs="TH SarabunPSK"/>
                <w:sz w:val="32"/>
                <w:szCs w:val="32"/>
              </w:rPr>
              <w:t xml:space="preserve">” or other equivalent program. This is sometimes referred to as a “long first degree”. This will NOT include “Integrated Masters” degrees (such as </w:t>
            </w:r>
            <w:proofErr w:type="spellStart"/>
            <w:r w:rsidRPr="007D4DCF">
              <w:rPr>
                <w:rFonts w:ascii="TH SarabunPSK" w:hAnsi="TH SarabunPSK" w:cs="TH SarabunPSK"/>
                <w:sz w:val="32"/>
                <w:szCs w:val="32"/>
              </w:rPr>
              <w:t>MChem</w:t>
            </w:r>
            <w:proofErr w:type="spellEnd"/>
            <w:r w:rsidRPr="007D4DCF">
              <w:rPr>
                <w:rFonts w:ascii="TH SarabunPSK" w:hAnsi="TH SarabunPSK" w:cs="TH SarabunPSK"/>
                <w:sz w:val="32"/>
                <w:szCs w:val="32"/>
              </w:rPr>
              <w:t xml:space="preserve">, MEng or </w:t>
            </w:r>
            <w:proofErr w:type="spellStart"/>
            <w:r w:rsidRPr="007D4DCF">
              <w:rPr>
                <w:rFonts w:ascii="TH SarabunPSK" w:hAnsi="TH SarabunPSK" w:cs="TH SarabunPSK"/>
                <w:sz w:val="32"/>
                <w:szCs w:val="32"/>
              </w:rPr>
              <w:t>MPharm</w:t>
            </w:r>
            <w:proofErr w:type="spellEnd"/>
            <w:r w:rsidRPr="007D4DCF">
              <w:rPr>
                <w:rFonts w:ascii="TH SarabunPSK" w:hAnsi="TH SarabunPSK" w:cs="TH SarabunPSK"/>
                <w:sz w:val="32"/>
                <w:szCs w:val="32"/>
              </w:rPr>
              <w:t>) where the program is the equivalent to an Undergraduate degree in terms of complexity and content. For further information, please see UNESCO ISCED-2011 Level 7.</w:t>
            </w:r>
          </w:p>
          <w:p w:rsidR="00657D87" w:rsidRPr="007D4DCF" w:rsidRDefault="00657D87" w:rsidP="00657D87">
            <w:pPr>
              <w:rPr>
                <w:rFonts w:ascii="TH SarabunPSK" w:hAnsi="TH SarabunPSK" w:cs="TH SarabunPSK"/>
                <w:sz w:val="32"/>
                <w:szCs w:val="32"/>
              </w:rPr>
            </w:pPr>
            <w:r w:rsidRPr="007D4DCF">
              <w:rPr>
                <w:rFonts w:ascii="TH SarabunPSK" w:hAnsi="TH SarabunPSK" w:cs="TH SarabunPSK"/>
                <w:sz w:val="32"/>
                <w:szCs w:val="32"/>
              </w:rPr>
              <w:t>Of which are international/overseas origin</w:t>
            </w:r>
          </w:p>
          <w:p w:rsidR="00657D87" w:rsidRPr="007D4DCF" w:rsidRDefault="00657D87" w:rsidP="00657D87">
            <w:pPr>
              <w:rPr>
                <w:rFonts w:ascii="TH SarabunPSK" w:hAnsi="TH SarabunPSK" w:cs="TH SarabunPSK"/>
                <w:sz w:val="32"/>
                <w:szCs w:val="32"/>
              </w:rPr>
            </w:pPr>
            <w:r w:rsidRPr="007D4DCF">
              <w:rPr>
                <w:rFonts w:ascii="TH SarabunPSK" w:hAnsi="TH SarabunPSK" w:cs="TH SarabunPSK"/>
                <w:sz w:val="32"/>
                <w:szCs w:val="32"/>
              </w:rPr>
              <w:t>The FTE number of “Master or equivalent – new student intake” (see above) whose nationality is different from the country in which your institution is based.</w:t>
            </w:r>
          </w:p>
          <w:p w:rsidR="00657D87" w:rsidRPr="007D4DCF" w:rsidRDefault="00657D87" w:rsidP="00657D87">
            <w:pPr>
              <w:rPr>
                <w:rFonts w:ascii="TH SarabunPSK" w:hAnsi="TH SarabunPSK" w:cs="TH SarabunPSK"/>
                <w:sz w:val="32"/>
                <w:szCs w:val="32"/>
              </w:rPr>
            </w:pPr>
            <w:r w:rsidRPr="007D4DCF">
              <w:rPr>
                <w:rFonts w:ascii="TH SarabunPSK" w:hAnsi="TH SarabunPSK" w:cs="TH SarabunPSK"/>
                <w:sz w:val="32"/>
                <w:szCs w:val="32"/>
              </w:rPr>
              <w:t>This will not include naturalized citizens.</w:t>
            </w:r>
          </w:p>
          <w:p w:rsidR="00657D87" w:rsidRPr="007D4DCF" w:rsidRDefault="00657D87" w:rsidP="00657D87">
            <w:pPr>
              <w:rPr>
                <w:rFonts w:ascii="TH SarabunPSK" w:hAnsi="TH SarabunPSK" w:cs="TH SarabunPSK"/>
                <w:sz w:val="32"/>
                <w:szCs w:val="32"/>
              </w:rPr>
            </w:pPr>
            <w:r w:rsidRPr="007D4DCF">
              <w:rPr>
                <w:rFonts w:ascii="TH SarabunPSK" w:hAnsi="TH SarabunPSK" w:cs="TH SarabunPSK"/>
                <w:sz w:val="32"/>
                <w:szCs w:val="32"/>
              </w:rPr>
              <w:t>Of which are women</w:t>
            </w:r>
          </w:p>
          <w:p w:rsidR="00657D87" w:rsidRPr="007D4DCF" w:rsidRDefault="00657D87" w:rsidP="00657D87">
            <w:pPr>
              <w:rPr>
                <w:rFonts w:ascii="TH SarabunPSK" w:hAnsi="TH SarabunPSK" w:cs="TH SarabunPSK"/>
                <w:sz w:val="32"/>
                <w:szCs w:val="32"/>
                <w:cs/>
              </w:rPr>
            </w:pPr>
            <w:r w:rsidRPr="007D4DCF">
              <w:rPr>
                <w:rFonts w:ascii="TH SarabunPSK" w:hAnsi="TH SarabunPSK" w:cs="TH SarabunPSK"/>
                <w:sz w:val="32"/>
                <w:szCs w:val="32"/>
              </w:rPr>
              <w:t>The FTE number of “Master or equivalent – new student intake” (see above) that are women.</w:t>
            </w:r>
          </w:p>
        </w:tc>
      </w:tr>
      <w:tr w:rsidR="00657D87" w:rsidRPr="007D4DCF" w:rsidTr="007D4DCF">
        <w:tc>
          <w:tcPr>
            <w:tcW w:w="5040" w:type="dxa"/>
          </w:tcPr>
          <w:p w:rsidR="00657D87" w:rsidRPr="007D4DCF" w:rsidRDefault="00657D87" w:rsidP="00657D87">
            <w:pPr>
              <w:pStyle w:val="ListParagraph"/>
              <w:numPr>
                <w:ilvl w:val="0"/>
                <w:numId w:val="1"/>
              </w:numPr>
              <w:rPr>
                <w:rFonts w:ascii="TH SarabunPSK" w:hAnsi="TH SarabunPSK" w:cs="TH SarabunPSK"/>
                <w:sz w:val="32"/>
                <w:szCs w:val="32"/>
              </w:rPr>
            </w:pPr>
            <w:r w:rsidRPr="00466236">
              <w:rPr>
                <w:rFonts w:ascii="TH SarabunPSK" w:hAnsi="TH SarabunPSK" w:cs="TH SarabunPSK"/>
                <w:b/>
                <w:bCs/>
                <w:sz w:val="32"/>
                <w:szCs w:val="32"/>
                <w:cs/>
              </w:rPr>
              <w:t>จำนวนผู้สำเร็จการศึกษาระดับปริญญาโท หรือเทียบเท่า</w:t>
            </w:r>
            <w:r w:rsidRPr="007D4DCF">
              <w:rPr>
                <w:rFonts w:ascii="TH SarabunPSK" w:hAnsi="TH SarabunPSK" w:cs="TH SarabunPSK"/>
                <w:b/>
                <w:bCs/>
                <w:sz w:val="32"/>
                <w:szCs w:val="32"/>
              </w:rPr>
              <w:t xml:space="preserve"> </w:t>
            </w:r>
            <w:r w:rsidR="00466236">
              <w:rPr>
                <w:rFonts w:ascii="TH SarabunPSK" w:hAnsi="TH SarabunPSK" w:cs="TH SarabunPSK"/>
                <w:b/>
                <w:bCs/>
                <w:sz w:val="32"/>
                <w:szCs w:val="32"/>
              </w:rPr>
              <w:br/>
            </w:r>
            <w:r w:rsidRPr="007D4DCF">
              <w:rPr>
                <w:rFonts w:ascii="TH SarabunPSK" w:hAnsi="TH SarabunPSK" w:cs="TH SarabunPSK"/>
                <w:b/>
                <w:bCs/>
                <w:sz w:val="32"/>
                <w:szCs w:val="32"/>
              </w:rPr>
              <w:t>Number of Master’s degrees awarded</w:t>
            </w:r>
          </w:p>
          <w:p w:rsidR="00657D87" w:rsidRPr="007D4DCF" w:rsidRDefault="00657D87" w:rsidP="00657D87">
            <w:pPr>
              <w:pStyle w:val="ListParagraph"/>
              <w:ind w:left="360"/>
              <w:rPr>
                <w:rFonts w:ascii="TH SarabunPSK" w:hAnsi="TH SarabunPSK" w:cs="TH SarabunPSK"/>
                <w:sz w:val="32"/>
                <w:szCs w:val="32"/>
              </w:rPr>
            </w:pPr>
          </w:p>
        </w:tc>
        <w:tc>
          <w:tcPr>
            <w:tcW w:w="8820" w:type="dxa"/>
          </w:tcPr>
          <w:p w:rsidR="00657D87" w:rsidRPr="007D4DCF" w:rsidRDefault="00657D87" w:rsidP="00657D87">
            <w:pPr>
              <w:rPr>
                <w:rFonts w:ascii="TH SarabunPSK" w:hAnsi="TH SarabunPSK" w:cs="TH SarabunPSK"/>
                <w:sz w:val="32"/>
                <w:szCs w:val="32"/>
              </w:rPr>
            </w:pPr>
            <w:r w:rsidRPr="007D4DCF">
              <w:rPr>
                <w:rFonts w:ascii="TH SarabunPSK" w:hAnsi="TH SarabunPSK" w:cs="TH SarabunPSK"/>
                <w:sz w:val="32"/>
                <w:szCs w:val="32"/>
              </w:rPr>
              <w:t>This is number of Master’s or equivalent degrees awarded during this year.</w:t>
            </w:r>
          </w:p>
          <w:p w:rsidR="00657D87" w:rsidRPr="007D4DCF" w:rsidRDefault="00657D87" w:rsidP="00657D87">
            <w:pPr>
              <w:rPr>
                <w:rFonts w:ascii="TH SarabunPSK" w:hAnsi="TH SarabunPSK" w:cs="TH SarabunPSK"/>
                <w:sz w:val="32"/>
                <w:szCs w:val="32"/>
                <w:cs/>
              </w:rPr>
            </w:pPr>
            <w:r w:rsidRPr="007D4DCF">
              <w:rPr>
                <w:rFonts w:ascii="TH SarabunPSK" w:hAnsi="TH SarabunPSK" w:cs="TH SarabunPSK"/>
                <w:sz w:val="32"/>
                <w:szCs w:val="32"/>
              </w:rPr>
              <w:t xml:space="preserve">Notes: This is the equivalent to UNESCO ISCED-2011 Level 7. These programs typically lead to an advanced academic or professional qualification. Usually they are the second degree in tertiary education and they will have a “Bachelor’s” or equivalent degree as an entry requirement. Some examples include: MA, MEng, MS, MSc and MBA. Master’s degrees may be course based or research based. Research based programs that lead to a doctoral qualification should not be included. In the case of a single program that awards two distinct qualifications, e.g. a bachelors and </w:t>
            </w:r>
            <w:proofErr w:type="spellStart"/>
            <w:r w:rsidRPr="007D4DCF">
              <w:rPr>
                <w:rFonts w:ascii="TH SarabunPSK" w:hAnsi="TH SarabunPSK" w:cs="TH SarabunPSK"/>
                <w:sz w:val="32"/>
                <w:szCs w:val="32"/>
              </w:rPr>
              <w:t>masters</w:t>
            </w:r>
            <w:proofErr w:type="spellEnd"/>
            <w:r w:rsidRPr="007D4DCF">
              <w:rPr>
                <w:rFonts w:ascii="TH SarabunPSK" w:hAnsi="TH SarabunPSK" w:cs="TH SarabunPSK"/>
                <w:sz w:val="32"/>
                <w:szCs w:val="32"/>
              </w:rPr>
              <w:t xml:space="preserve"> degree; only the Masters (or equivalent) degree should be reported as part of this field. The Bachelor’s degree component should be counted in the Number of undergraduate degrees awarded field. Degrees awarded for programs of five or more year’s duration preparing for a first degree/qualification should be included in this level if equivalent to master level program in terms of the complexity of content. This will include students studying for “</w:t>
            </w:r>
            <w:proofErr w:type="spellStart"/>
            <w:r w:rsidRPr="007D4DCF">
              <w:rPr>
                <w:rFonts w:ascii="TH SarabunPSK" w:hAnsi="TH SarabunPSK" w:cs="TH SarabunPSK"/>
                <w:sz w:val="32"/>
                <w:szCs w:val="32"/>
              </w:rPr>
              <w:t>diplom</w:t>
            </w:r>
            <w:proofErr w:type="spellEnd"/>
            <w:r w:rsidRPr="007D4DCF">
              <w:rPr>
                <w:rFonts w:ascii="TH SarabunPSK" w:hAnsi="TH SarabunPSK" w:cs="TH SarabunPSK"/>
                <w:sz w:val="32"/>
                <w:szCs w:val="32"/>
              </w:rPr>
              <w:t xml:space="preserve">” or other equivalent program. This is sometimes referred to as a “long first degree”. This will NOT include “Integrated Masters” degrees (such as </w:t>
            </w:r>
            <w:proofErr w:type="spellStart"/>
            <w:r w:rsidRPr="007D4DCF">
              <w:rPr>
                <w:rFonts w:ascii="TH SarabunPSK" w:hAnsi="TH SarabunPSK" w:cs="TH SarabunPSK"/>
                <w:sz w:val="32"/>
                <w:szCs w:val="32"/>
              </w:rPr>
              <w:t>MChem</w:t>
            </w:r>
            <w:proofErr w:type="spellEnd"/>
            <w:r w:rsidRPr="007D4DCF">
              <w:rPr>
                <w:rFonts w:ascii="TH SarabunPSK" w:hAnsi="TH SarabunPSK" w:cs="TH SarabunPSK"/>
                <w:sz w:val="32"/>
                <w:szCs w:val="32"/>
              </w:rPr>
              <w:t xml:space="preserve">, MEng or </w:t>
            </w:r>
            <w:proofErr w:type="spellStart"/>
            <w:r w:rsidRPr="007D4DCF">
              <w:rPr>
                <w:rFonts w:ascii="TH SarabunPSK" w:hAnsi="TH SarabunPSK" w:cs="TH SarabunPSK"/>
                <w:sz w:val="32"/>
                <w:szCs w:val="32"/>
              </w:rPr>
              <w:t>MPharm</w:t>
            </w:r>
            <w:proofErr w:type="spellEnd"/>
            <w:r w:rsidRPr="007D4DCF">
              <w:rPr>
                <w:rFonts w:ascii="TH SarabunPSK" w:hAnsi="TH SarabunPSK" w:cs="TH SarabunPSK"/>
                <w:sz w:val="32"/>
                <w:szCs w:val="32"/>
              </w:rPr>
              <w:t>) where the program is the equivalent to an Undergraduate degree in terms of complexity</w:t>
            </w:r>
          </w:p>
        </w:tc>
      </w:tr>
      <w:tr w:rsidR="00657D87" w:rsidRPr="007D4DCF" w:rsidTr="007D4DCF">
        <w:tc>
          <w:tcPr>
            <w:tcW w:w="5040" w:type="dxa"/>
          </w:tcPr>
          <w:p w:rsidR="00657D87" w:rsidRPr="007D4DCF" w:rsidRDefault="00657D87" w:rsidP="00657D87">
            <w:pPr>
              <w:pStyle w:val="ListParagraph"/>
              <w:numPr>
                <w:ilvl w:val="0"/>
                <w:numId w:val="1"/>
              </w:numPr>
              <w:rPr>
                <w:rFonts w:ascii="TH SarabunPSK" w:hAnsi="TH SarabunPSK" w:cs="TH SarabunPSK"/>
                <w:sz w:val="32"/>
                <w:szCs w:val="32"/>
              </w:rPr>
            </w:pPr>
            <w:r w:rsidRPr="00466236">
              <w:rPr>
                <w:rFonts w:ascii="TH SarabunPSK" w:hAnsi="TH SarabunPSK" w:cs="TH SarabunPSK"/>
                <w:b/>
                <w:bCs/>
                <w:sz w:val="32"/>
                <w:szCs w:val="32"/>
                <w:cs/>
              </w:rPr>
              <w:t>จำนวนนักศึกษาใหม่ระดับปริญญาเอก หรือเทียบเท่า</w:t>
            </w:r>
            <w:r w:rsidRPr="007D4DCF">
              <w:rPr>
                <w:rFonts w:ascii="TH SarabunPSK" w:hAnsi="TH SarabunPSK" w:cs="TH SarabunPSK"/>
                <w:b/>
                <w:bCs/>
                <w:sz w:val="32"/>
                <w:szCs w:val="32"/>
              </w:rPr>
              <w:t xml:space="preserve"> </w:t>
            </w:r>
            <w:r w:rsidRPr="007D4DCF">
              <w:rPr>
                <w:rFonts w:ascii="TH SarabunPSK" w:hAnsi="TH SarabunPSK" w:cs="TH SarabunPSK"/>
                <w:b/>
                <w:bCs/>
                <w:sz w:val="32"/>
                <w:szCs w:val="32"/>
              </w:rPr>
              <w:t>Doctoral - new student intake</w:t>
            </w:r>
          </w:p>
        </w:tc>
        <w:tc>
          <w:tcPr>
            <w:tcW w:w="8820" w:type="dxa"/>
          </w:tcPr>
          <w:p w:rsidR="00657D87" w:rsidRPr="007D4DCF" w:rsidRDefault="00657D87" w:rsidP="00657D87">
            <w:pPr>
              <w:rPr>
                <w:rFonts w:ascii="TH SarabunPSK" w:hAnsi="TH SarabunPSK" w:cs="TH SarabunPSK"/>
                <w:sz w:val="32"/>
                <w:szCs w:val="32"/>
              </w:rPr>
            </w:pPr>
            <w:r w:rsidRPr="007D4DCF">
              <w:rPr>
                <w:rFonts w:ascii="TH SarabunPSK" w:hAnsi="TH SarabunPSK" w:cs="TH SarabunPSK"/>
                <w:sz w:val="32"/>
                <w:szCs w:val="32"/>
              </w:rPr>
              <w:t xml:space="preserve">The FTE number of Doctoral (PhD and equivalent) students admitted in this year. These </w:t>
            </w:r>
            <w:proofErr w:type="spellStart"/>
            <w:r w:rsidRPr="007D4DCF">
              <w:rPr>
                <w:rFonts w:ascii="TH SarabunPSK" w:hAnsi="TH SarabunPSK" w:cs="TH SarabunPSK"/>
                <w:sz w:val="32"/>
                <w:szCs w:val="32"/>
              </w:rPr>
              <w:t>programmes</w:t>
            </w:r>
            <w:proofErr w:type="spellEnd"/>
            <w:r w:rsidRPr="007D4DCF">
              <w:rPr>
                <w:rFonts w:ascii="TH SarabunPSK" w:hAnsi="TH SarabunPSK" w:cs="TH SarabunPSK"/>
                <w:sz w:val="32"/>
                <w:szCs w:val="32"/>
              </w:rPr>
              <w:t xml:space="preserve"> are devoted to advanced study and original research and will lead to an advanced research qualification.</w:t>
            </w:r>
          </w:p>
          <w:p w:rsidR="00657D87" w:rsidRPr="007D4DCF" w:rsidRDefault="00657D87" w:rsidP="00657D87">
            <w:pPr>
              <w:rPr>
                <w:rFonts w:ascii="TH SarabunPSK" w:hAnsi="TH SarabunPSK" w:cs="TH SarabunPSK"/>
                <w:sz w:val="32"/>
                <w:szCs w:val="32"/>
                <w:cs/>
              </w:rPr>
            </w:pPr>
            <w:r w:rsidRPr="007D4DCF">
              <w:rPr>
                <w:rFonts w:ascii="TH SarabunPSK" w:hAnsi="TH SarabunPSK" w:cs="TH SarabunPSK"/>
                <w:sz w:val="32"/>
                <w:szCs w:val="32"/>
              </w:rPr>
              <w:t xml:space="preserve">Notes: This is the equivalent to UNESCO ISCED-2011 Level 8. This will include advanced degrees that include a significant taught component such as a Medical </w:t>
            </w:r>
            <w:proofErr w:type="gramStart"/>
            <w:r w:rsidRPr="007D4DCF">
              <w:rPr>
                <w:rFonts w:ascii="TH SarabunPSK" w:hAnsi="TH SarabunPSK" w:cs="TH SarabunPSK"/>
                <w:sz w:val="32"/>
                <w:szCs w:val="32"/>
              </w:rPr>
              <w:t>Doctorate ,</w:t>
            </w:r>
            <w:proofErr w:type="gramEnd"/>
            <w:r w:rsidRPr="007D4DCF">
              <w:rPr>
                <w:rFonts w:ascii="TH SarabunPSK" w:hAnsi="TH SarabunPSK" w:cs="TH SarabunPSK"/>
                <w:sz w:val="32"/>
                <w:szCs w:val="32"/>
              </w:rPr>
              <w:t xml:space="preserve"> Doctor of Law or Doctor of Engineering and equivalents. This will NOT include Master’s students (including research-based Master’s degree or Master of Philosophy or other equivalent)</w:t>
            </w:r>
          </w:p>
        </w:tc>
      </w:tr>
      <w:tr w:rsidR="00657D87" w:rsidRPr="007D4DCF" w:rsidTr="007D4DCF">
        <w:tc>
          <w:tcPr>
            <w:tcW w:w="5040" w:type="dxa"/>
          </w:tcPr>
          <w:p w:rsidR="00657D87" w:rsidRPr="007D4DCF" w:rsidRDefault="00657D87" w:rsidP="00657D87">
            <w:pPr>
              <w:pStyle w:val="ListParagraph"/>
              <w:numPr>
                <w:ilvl w:val="0"/>
                <w:numId w:val="1"/>
              </w:numPr>
              <w:rPr>
                <w:rFonts w:ascii="TH SarabunPSK" w:hAnsi="TH SarabunPSK" w:cs="TH SarabunPSK"/>
                <w:sz w:val="32"/>
                <w:szCs w:val="32"/>
              </w:rPr>
            </w:pPr>
            <w:r w:rsidRPr="00466236">
              <w:rPr>
                <w:rFonts w:ascii="TH SarabunPSK" w:hAnsi="TH SarabunPSK" w:cs="TH SarabunPSK"/>
                <w:b/>
                <w:bCs/>
                <w:sz w:val="32"/>
                <w:szCs w:val="32"/>
                <w:cs/>
              </w:rPr>
              <w:t>จำนวนผู้สำเร็จการศึกษาระดับปริญญาเอก หรือเทียบเท่า</w:t>
            </w:r>
            <w:r w:rsidRPr="007D4DCF">
              <w:rPr>
                <w:rFonts w:ascii="TH SarabunPSK" w:hAnsi="TH SarabunPSK" w:cs="TH SarabunPSK"/>
                <w:b/>
                <w:bCs/>
                <w:sz w:val="32"/>
                <w:szCs w:val="32"/>
              </w:rPr>
              <w:t xml:space="preserve"> </w:t>
            </w:r>
            <w:r w:rsidR="00466236">
              <w:rPr>
                <w:rFonts w:ascii="TH SarabunPSK" w:hAnsi="TH SarabunPSK" w:cs="TH SarabunPSK"/>
                <w:b/>
                <w:bCs/>
                <w:sz w:val="32"/>
                <w:szCs w:val="32"/>
              </w:rPr>
              <w:br/>
            </w:r>
            <w:r w:rsidRPr="007D4DCF">
              <w:rPr>
                <w:rFonts w:ascii="TH SarabunPSK" w:hAnsi="TH SarabunPSK" w:cs="TH SarabunPSK"/>
                <w:b/>
                <w:bCs/>
                <w:sz w:val="32"/>
                <w:szCs w:val="32"/>
              </w:rPr>
              <w:t>Number of Doctorates awarded</w:t>
            </w:r>
          </w:p>
        </w:tc>
        <w:tc>
          <w:tcPr>
            <w:tcW w:w="8820" w:type="dxa"/>
          </w:tcPr>
          <w:p w:rsidR="00657D87" w:rsidRPr="007D4DCF" w:rsidRDefault="00657D87" w:rsidP="00657D87">
            <w:pPr>
              <w:rPr>
                <w:rFonts w:ascii="TH SarabunPSK" w:hAnsi="TH SarabunPSK" w:cs="TH SarabunPSK"/>
                <w:sz w:val="32"/>
                <w:szCs w:val="32"/>
              </w:rPr>
            </w:pPr>
            <w:r w:rsidRPr="007D4DCF">
              <w:rPr>
                <w:rFonts w:ascii="TH SarabunPSK" w:hAnsi="TH SarabunPSK" w:cs="TH SarabunPSK"/>
                <w:sz w:val="32"/>
                <w:szCs w:val="32"/>
              </w:rPr>
              <w:t>This is number of advanced research degrees (PhD and equivalent) awarded during this year.</w:t>
            </w:r>
          </w:p>
          <w:p w:rsidR="00657D87" w:rsidRPr="007D4DCF" w:rsidRDefault="00657D87" w:rsidP="00657D87">
            <w:pPr>
              <w:rPr>
                <w:rFonts w:ascii="TH SarabunPSK" w:hAnsi="TH SarabunPSK" w:cs="TH SarabunPSK"/>
                <w:sz w:val="32"/>
                <w:szCs w:val="32"/>
              </w:rPr>
            </w:pPr>
            <w:r w:rsidRPr="007D4DCF">
              <w:rPr>
                <w:rFonts w:ascii="TH SarabunPSK" w:hAnsi="TH SarabunPSK" w:cs="TH SarabunPSK"/>
                <w:sz w:val="32"/>
                <w:szCs w:val="32"/>
              </w:rPr>
              <w:t>Notes: This is the equivalent to UNESCO ISCED-2011 Level 8. This will include advanced degrees that include a significant taught component such as a Medical Doctorate, Doctor of Law or Doctor of Engineering and other equivalents. This will NOT include Master’s degree (including research-based Master’s degree or Master of Philosophy or other equivalent)</w:t>
            </w:r>
          </w:p>
        </w:tc>
      </w:tr>
      <w:tr w:rsidR="00657D87" w:rsidRPr="007D4DCF" w:rsidTr="007D4DCF">
        <w:tc>
          <w:tcPr>
            <w:tcW w:w="5040" w:type="dxa"/>
            <w:tcBorders>
              <w:bottom w:val="single" w:sz="4" w:space="0" w:color="auto"/>
            </w:tcBorders>
          </w:tcPr>
          <w:p w:rsidR="00657D87" w:rsidRPr="007D4DCF" w:rsidRDefault="00657D87" w:rsidP="00657D87">
            <w:pPr>
              <w:pStyle w:val="ListParagraph"/>
              <w:numPr>
                <w:ilvl w:val="0"/>
                <w:numId w:val="1"/>
              </w:numPr>
              <w:rPr>
                <w:rFonts w:ascii="TH SarabunPSK" w:hAnsi="TH SarabunPSK" w:cs="TH SarabunPSK"/>
                <w:sz w:val="32"/>
                <w:szCs w:val="32"/>
              </w:rPr>
            </w:pPr>
            <w:r w:rsidRPr="00466236">
              <w:rPr>
                <w:rFonts w:ascii="TH SarabunPSK" w:hAnsi="TH SarabunPSK" w:cs="TH SarabunPSK"/>
                <w:b/>
                <w:bCs/>
                <w:sz w:val="32"/>
                <w:szCs w:val="32"/>
                <w:cs/>
              </w:rPr>
              <w:t>รายได้ของมหาวิทยาลัย</w:t>
            </w:r>
            <w:r w:rsidRPr="007D4DCF">
              <w:rPr>
                <w:rFonts w:ascii="TH SarabunPSK" w:hAnsi="TH SarabunPSK" w:cs="TH SarabunPSK"/>
                <w:b/>
                <w:bCs/>
                <w:sz w:val="32"/>
                <w:szCs w:val="32"/>
              </w:rPr>
              <w:t xml:space="preserve"> </w:t>
            </w:r>
            <w:r w:rsidR="00466236">
              <w:rPr>
                <w:rFonts w:ascii="TH SarabunPSK" w:hAnsi="TH SarabunPSK" w:cs="TH SarabunPSK"/>
                <w:b/>
                <w:bCs/>
                <w:sz w:val="32"/>
                <w:szCs w:val="32"/>
              </w:rPr>
              <w:br/>
            </w:r>
            <w:r w:rsidRPr="007D4DCF">
              <w:rPr>
                <w:rFonts w:ascii="TH SarabunPSK" w:hAnsi="TH SarabunPSK" w:cs="TH SarabunPSK"/>
                <w:b/>
                <w:bCs/>
                <w:sz w:val="32"/>
                <w:szCs w:val="32"/>
              </w:rPr>
              <w:t>Institutional income</w:t>
            </w:r>
          </w:p>
        </w:tc>
        <w:tc>
          <w:tcPr>
            <w:tcW w:w="8820" w:type="dxa"/>
            <w:tcBorders>
              <w:bottom w:val="single" w:sz="4" w:space="0" w:color="auto"/>
            </w:tcBorders>
          </w:tcPr>
          <w:p w:rsidR="00657D87" w:rsidRPr="007D4DCF" w:rsidRDefault="00657D87" w:rsidP="00657D87">
            <w:pPr>
              <w:rPr>
                <w:rFonts w:ascii="TH SarabunPSK" w:hAnsi="TH SarabunPSK" w:cs="TH SarabunPSK"/>
                <w:sz w:val="32"/>
                <w:szCs w:val="32"/>
              </w:rPr>
            </w:pPr>
            <w:r w:rsidRPr="007D4DCF">
              <w:rPr>
                <w:rFonts w:ascii="TH SarabunPSK" w:hAnsi="TH SarabunPSK" w:cs="TH SarabunPSK"/>
                <w:sz w:val="32"/>
                <w:szCs w:val="32"/>
              </w:rPr>
              <w:t>The overall income (in your pre-selected currency) of your institution during this year.</w:t>
            </w:r>
          </w:p>
          <w:p w:rsidR="00657D87" w:rsidRPr="007D4DCF" w:rsidRDefault="00657D87" w:rsidP="00657D87">
            <w:pPr>
              <w:rPr>
                <w:rFonts w:ascii="TH SarabunPSK" w:hAnsi="TH SarabunPSK" w:cs="TH SarabunPSK"/>
                <w:sz w:val="32"/>
                <w:szCs w:val="32"/>
              </w:rPr>
            </w:pPr>
            <w:r w:rsidRPr="007D4DCF">
              <w:rPr>
                <w:rFonts w:ascii="TH SarabunPSK" w:hAnsi="TH SarabunPSK" w:cs="TH SarabunPSK"/>
                <w:sz w:val="32"/>
                <w:szCs w:val="32"/>
              </w:rPr>
              <w:t xml:space="preserve">Notes: This should include all forms of income such as: general university funds, grant income, contract income, teaching income, donations, investments and commercialization. </w:t>
            </w:r>
          </w:p>
          <w:p w:rsidR="00657D87" w:rsidRPr="007D4DCF" w:rsidRDefault="00657D87" w:rsidP="00657D87">
            <w:pPr>
              <w:rPr>
                <w:rFonts w:ascii="TH SarabunPSK" w:hAnsi="TH SarabunPSK" w:cs="TH SarabunPSK"/>
                <w:sz w:val="32"/>
                <w:szCs w:val="32"/>
                <w:cs/>
              </w:rPr>
            </w:pPr>
            <w:r w:rsidRPr="007D4DCF">
              <w:rPr>
                <w:rFonts w:ascii="TH SarabunPSK" w:hAnsi="TH SarabunPSK" w:cs="TH SarabunPSK"/>
                <w:sz w:val="32"/>
                <w:szCs w:val="32"/>
              </w:rPr>
              <w:t>This will include “Research income” (see below)</w:t>
            </w:r>
          </w:p>
        </w:tc>
      </w:tr>
      <w:tr w:rsidR="00657D87" w:rsidRPr="007D4DCF" w:rsidTr="007D4DCF">
        <w:tc>
          <w:tcPr>
            <w:tcW w:w="5040" w:type="dxa"/>
            <w:tcBorders>
              <w:bottom w:val="nil"/>
            </w:tcBorders>
          </w:tcPr>
          <w:p w:rsidR="00657D87" w:rsidRPr="007D4DCF" w:rsidRDefault="00657D87" w:rsidP="00657D87">
            <w:pPr>
              <w:pStyle w:val="ListParagraph"/>
              <w:numPr>
                <w:ilvl w:val="0"/>
                <w:numId w:val="1"/>
              </w:numPr>
              <w:rPr>
                <w:rFonts w:ascii="TH SarabunPSK" w:hAnsi="TH SarabunPSK" w:cs="TH SarabunPSK"/>
                <w:sz w:val="32"/>
                <w:szCs w:val="32"/>
              </w:rPr>
            </w:pPr>
            <w:r w:rsidRPr="00466236">
              <w:rPr>
                <w:rFonts w:ascii="TH SarabunPSK" w:hAnsi="TH SarabunPSK" w:cs="TH SarabunPSK"/>
                <w:b/>
                <w:bCs/>
                <w:sz w:val="32"/>
                <w:szCs w:val="32"/>
                <w:cs/>
              </w:rPr>
              <w:t>รายได้ด้านวิจัย</w:t>
            </w:r>
            <w:r w:rsidRPr="007D4DCF">
              <w:rPr>
                <w:rFonts w:ascii="TH SarabunPSK" w:hAnsi="TH SarabunPSK" w:cs="TH SarabunPSK"/>
                <w:b/>
                <w:bCs/>
                <w:sz w:val="32"/>
                <w:szCs w:val="32"/>
              </w:rPr>
              <w:t xml:space="preserve"> </w:t>
            </w:r>
            <w:r w:rsidR="00466236">
              <w:rPr>
                <w:rFonts w:ascii="TH SarabunPSK" w:hAnsi="TH SarabunPSK" w:cs="TH SarabunPSK"/>
                <w:b/>
                <w:bCs/>
                <w:sz w:val="32"/>
                <w:szCs w:val="32"/>
              </w:rPr>
              <w:br/>
            </w:r>
            <w:r w:rsidRPr="007D4DCF">
              <w:rPr>
                <w:rFonts w:ascii="TH SarabunPSK" w:hAnsi="TH SarabunPSK" w:cs="TH SarabunPSK"/>
                <w:b/>
                <w:bCs/>
                <w:sz w:val="32"/>
                <w:szCs w:val="32"/>
              </w:rPr>
              <w:t>Research income</w:t>
            </w:r>
          </w:p>
        </w:tc>
        <w:tc>
          <w:tcPr>
            <w:tcW w:w="8820" w:type="dxa"/>
            <w:tcBorders>
              <w:bottom w:val="nil"/>
            </w:tcBorders>
          </w:tcPr>
          <w:p w:rsidR="00657D87" w:rsidRPr="007D4DCF" w:rsidRDefault="00657D87" w:rsidP="00657D87">
            <w:pPr>
              <w:rPr>
                <w:rFonts w:ascii="TH SarabunPSK" w:hAnsi="TH SarabunPSK" w:cs="TH SarabunPSK"/>
                <w:sz w:val="32"/>
                <w:szCs w:val="32"/>
              </w:rPr>
            </w:pPr>
            <w:r w:rsidRPr="007D4DCF">
              <w:rPr>
                <w:rFonts w:ascii="TH SarabunPSK" w:hAnsi="TH SarabunPSK" w:cs="TH SarabunPSK"/>
                <w:sz w:val="32"/>
                <w:szCs w:val="32"/>
              </w:rPr>
              <w:t>This is the amount of income (in your pre-selected currency) that your institution has acquired during this year specifically for purposes of conducting research.</w:t>
            </w:r>
          </w:p>
          <w:p w:rsidR="00657D87" w:rsidRPr="007D4DCF" w:rsidRDefault="00657D87" w:rsidP="00657D87">
            <w:pPr>
              <w:rPr>
                <w:rFonts w:ascii="TH SarabunPSK" w:hAnsi="TH SarabunPSK" w:cs="TH SarabunPSK"/>
                <w:sz w:val="32"/>
                <w:szCs w:val="32"/>
              </w:rPr>
            </w:pPr>
            <w:r w:rsidRPr="007D4DCF">
              <w:rPr>
                <w:rFonts w:ascii="TH SarabunPSK" w:hAnsi="TH SarabunPSK" w:cs="TH SarabunPSK"/>
                <w:sz w:val="32"/>
                <w:szCs w:val="32"/>
              </w:rPr>
              <w:t xml:space="preserve">Notes: These may be short-term contracts or longer-term research units. It will NOT include general funding for your institution, income that is generated by your institution (e.g. donations, investments or commercialization) or teaching income. </w:t>
            </w:r>
          </w:p>
          <w:p w:rsidR="00657D87" w:rsidRPr="007D4DCF" w:rsidRDefault="00657D87" w:rsidP="00657D87">
            <w:pPr>
              <w:rPr>
                <w:rFonts w:ascii="TH SarabunPSK" w:hAnsi="TH SarabunPSK" w:cs="TH SarabunPSK"/>
                <w:sz w:val="32"/>
                <w:szCs w:val="32"/>
                <w:cs/>
              </w:rPr>
            </w:pPr>
            <w:r w:rsidRPr="007D4DCF">
              <w:rPr>
                <w:rFonts w:ascii="TH SarabunPSK" w:hAnsi="TH SarabunPSK" w:cs="TH SarabunPSK"/>
                <w:sz w:val="32"/>
                <w:szCs w:val="32"/>
              </w:rPr>
              <w:t>This will include “Research income from industry and commerce” (see below)</w:t>
            </w:r>
          </w:p>
        </w:tc>
      </w:tr>
      <w:tr w:rsidR="00657D87" w:rsidRPr="007D4DCF" w:rsidTr="007D4DCF">
        <w:tc>
          <w:tcPr>
            <w:tcW w:w="5040" w:type="dxa"/>
            <w:tcBorders>
              <w:top w:val="nil"/>
            </w:tcBorders>
          </w:tcPr>
          <w:p w:rsidR="00657D87" w:rsidRPr="007D4DCF" w:rsidRDefault="00657D87" w:rsidP="00657D87">
            <w:pPr>
              <w:pStyle w:val="ListParagraph"/>
              <w:numPr>
                <w:ilvl w:val="0"/>
                <w:numId w:val="6"/>
              </w:numPr>
              <w:ind w:left="882" w:hanging="522"/>
              <w:rPr>
                <w:rFonts w:ascii="TH SarabunPSK" w:hAnsi="TH SarabunPSK" w:cs="TH SarabunPSK"/>
                <w:sz w:val="32"/>
                <w:szCs w:val="32"/>
                <w:cs/>
              </w:rPr>
            </w:pPr>
            <w:r w:rsidRPr="007D4DCF">
              <w:rPr>
                <w:rFonts w:ascii="TH SarabunPSK" w:hAnsi="TH SarabunPSK" w:cs="TH SarabunPSK"/>
                <w:sz w:val="32"/>
                <w:szCs w:val="32"/>
                <w:cs/>
              </w:rPr>
              <w:t>รายได้ด้านวิจัย จากภาคเอกชนและอุตสาหกรรม</w:t>
            </w:r>
            <w:r w:rsidRPr="007D4DCF">
              <w:rPr>
                <w:rFonts w:ascii="TH SarabunPSK" w:hAnsi="TH SarabunPSK" w:cs="TH SarabunPSK"/>
                <w:b/>
                <w:bCs/>
                <w:sz w:val="32"/>
                <w:szCs w:val="32"/>
              </w:rPr>
              <w:t xml:space="preserve"> </w:t>
            </w:r>
            <w:r w:rsidR="00466236">
              <w:rPr>
                <w:rFonts w:ascii="TH SarabunPSK" w:hAnsi="TH SarabunPSK" w:cs="TH SarabunPSK"/>
                <w:sz w:val="32"/>
                <w:szCs w:val="32"/>
              </w:rPr>
              <w:br/>
            </w:r>
            <w:r w:rsidRPr="00466236">
              <w:rPr>
                <w:rFonts w:ascii="TH SarabunPSK" w:hAnsi="TH SarabunPSK" w:cs="TH SarabunPSK"/>
                <w:sz w:val="32"/>
                <w:szCs w:val="32"/>
              </w:rPr>
              <w:t>Research income from industry and commerce</w:t>
            </w:r>
          </w:p>
        </w:tc>
        <w:tc>
          <w:tcPr>
            <w:tcW w:w="8820" w:type="dxa"/>
            <w:tcBorders>
              <w:top w:val="nil"/>
            </w:tcBorders>
          </w:tcPr>
          <w:p w:rsidR="00657D87" w:rsidRPr="007D4DCF" w:rsidRDefault="00657D87" w:rsidP="00657D87">
            <w:pPr>
              <w:rPr>
                <w:rFonts w:ascii="TH SarabunPSK" w:hAnsi="TH SarabunPSK" w:cs="TH SarabunPSK"/>
                <w:sz w:val="32"/>
                <w:szCs w:val="32"/>
              </w:rPr>
            </w:pPr>
            <w:r w:rsidRPr="007D4DCF">
              <w:rPr>
                <w:rFonts w:ascii="TH SarabunPSK" w:hAnsi="TH SarabunPSK" w:cs="TH SarabunPSK"/>
                <w:sz w:val="32"/>
                <w:szCs w:val="32"/>
              </w:rPr>
              <w:t>This is the amount of research income you acquired from industry or other commercial entities.</w:t>
            </w:r>
          </w:p>
          <w:p w:rsidR="00657D87" w:rsidRPr="007D4DCF" w:rsidRDefault="00657D87" w:rsidP="00657D87">
            <w:pPr>
              <w:rPr>
                <w:rFonts w:ascii="TH SarabunPSK" w:hAnsi="TH SarabunPSK" w:cs="TH SarabunPSK"/>
                <w:sz w:val="32"/>
                <w:szCs w:val="32"/>
                <w:cs/>
              </w:rPr>
            </w:pPr>
            <w:r w:rsidRPr="007D4DCF">
              <w:rPr>
                <w:rFonts w:ascii="TH SarabunPSK" w:hAnsi="TH SarabunPSK" w:cs="TH SarabunPSK"/>
                <w:sz w:val="32"/>
                <w:szCs w:val="32"/>
              </w:rPr>
              <w:t xml:space="preserve">Notes: It will NOT include general funding for your institution, income that is generated by your institution (e.g. donations, investments or commercialization), income </w:t>
            </w:r>
            <w:bookmarkStart w:id="0" w:name="_GoBack"/>
            <w:bookmarkEnd w:id="0"/>
            <w:r w:rsidRPr="007D4DCF">
              <w:rPr>
                <w:rFonts w:ascii="TH SarabunPSK" w:hAnsi="TH SarabunPSK" w:cs="TH SarabunPSK"/>
                <w:sz w:val="32"/>
                <w:szCs w:val="32"/>
              </w:rPr>
              <w:t>from teaching or income generated from public sources (government and charities).</w:t>
            </w:r>
          </w:p>
        </w:tc>
      </w:tr>
    </w:tbl>
    <w:p w:rsidR="009832FF" w:rsidRPr="007D4DCF" w:rsidRDefault="009832FF" w:rsidP="008441A1">
      <w:pPr>
        <w:pStyle w:val="ListParagraph"/>
        <w:ind w:left="0"/>
        <w:rPr>
          <w:rFonts w:ascii="TH SarabunPSK" w:hAnsi="TH SarabunPSK" w:cs="TH SarabunPSK"/>
          <w:sz w:val="32"/>
          <w:szCs w:val="32"/>
        </w:rPr>
      </w:pPr>
    </w:p>
    <w:p w:rsidR="00DF547A" w:rsidRPr="007D4DCF" w:rsidRDefault="00DF547A" w:rsidP="008441A1">
      <w:pPr>
        <w:pStyle w:val="ListParagraph"/>
        <w:ind w:left="0"/>
        <w:rPr>
          <w:rFonts w:ascii="TH SarabunPSK" w:hAnsi="TH SarabunPSK" w:cs="TH SarabunPSK"/>
          <w:sz w:val="32"/>
          <w:szCs w:val="32"/>
        </w:rPr>
      </w:pPr>
    </w:p>
    <w:sectPr w:rsidR="00DF547A" w:rsidRPr="007D4DCF" w:rsidSect="005C4C45">
      <w:headerReference w:type="default" r:id="rId7"/>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08A0" w:rsidRDefault="008308A0" w:rsidP="008308A0">
      <w:pPr>
        <w:spacing w:after="0" w:line="240" w:lineRule="auto"/>
      </w:pPr>
      <w:r>
        <w:separator/>
      </w:r>
    </w:p>
  </w:endnote>
  <w:endnote w:type="continuationSeparator" w:id="0">
    <w:p w:rsidR="008308A0" w:rsidRDefault="008308A0" w:rsidP="008308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H SarabunPSK">
    <w:panose1 w:val="020B0500040200020003"/>
    <w:charset w:val="00"/>
    <w:family w:val="swiss"/>
    <w:pitch w:val="variable"/>
    <w:sig w:usb0="A100006F" w:usb1="5000205A" w:usb2="00000000" w:usb3="00000000" w:csb0="00010183" w:csb1="00000000"/>
  </w:font>
  <w:font w:name="Cordia New">
    <w:panose1 w:val="020B0304020202020204"/>
    <w:charset w:val="00"/>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4751" w:rsidRPr="00544751" w:rsidRDefault="00544751">
    <w:pPr>
      <w:pStyle w:val="Footer"/>
      <w:rPr>
        <w:rFonts w:ascii="TH SarabunPSK" w:hAnsi="TH SarabunPSK" w:cs="TH SarabunPSK"/>
        <w:sz w:val="18"/>
        <w:szCs w:val="22"/>
      </w:rPr>
    </w:pPr>
    <w:r w:rsidRPr="00544751">
      <w:rPr>
        <w:rFonts w:ascii="TH SarabunPSK" w:hAnsi="TH SarabunPSK" w:cs="TH SarabunPSK"/>
        <w:sz w:val="18"/>
        <w:szCs w:val="22"/>
        <w:cs/>
      </w:rPr>
      <w:fldChar w:fldCharType="begin"/>
    </w:r>
    <w:r w:rsidRPr="00544751">
      <w:rPr>
        <w:rFonts w:ascii="TH SarabunPSK" w:hAnsi="TH SarabunPSK" w:cs="TH SarabunPSK"/>
        <w:sz w:val="18"/>
        <w:szCs w:val="22"/>
        <w:cs/>
      </w:rPr>
      <w:instrText xml:space="preserve"> </w:instrText>
    </w:r>
    <w:r w:rsidRPr="00544751">
      <w:rPr>
        <w:rFonts w:ascii="TH SarabunPSK" w:hAnsi="TH SarabunPSK" w:cs="TH SarabunPSK"/>
        <w:sz w:val="18"/>
        <w:szCs w:val="22"/>
      </w:rPr>
      <w:instrText>FILENAME  \p  \* MERGEFORMAT</w:instrText>
    </w:r>
    <w:r w:rsidRPr="00544751">
      <w:rPr>
        <w:rFonts w:ascii="TH SarabunPSK" w:hAnsi="TH SarabunPSK" w:cs="TH SarabunPSK"/>
        <w:sz w:val="18"/>
        <w:szCs w:val="22"/>
        <w:cs/>
      </w:rPr>
      <w:instrText xml:space="preserve"> </w:instrText>
    </w:r>
    <w:r w:rsidRPr="00544751">
      <w:rPr>
        <w:rFonts w:ascii="TH SarabunPSK" w:hAnsi="TH SarabunPSK" w:cs="TH SarabunPSK"/>
        <w:sz w:val="18"/>
        <w:szCs w:val="22"/>
        <w:cs/>
      </w:rPr>
      <w:fldChar w:fldCharType="separate"/>
    </w:r>
    <w:r w:rsidR="00466236">
      <w:rPr>
        <w:rFonts w:ascii="TH SarabunPSK" w:hAnsi="TH SarabunPSK" w:cs="TH SarabunPSK"/>
        <w:noProof/>
        <w:sz w:val="18"/>
        <w:szCs w:val="22"/>
      </w:rPr>
      <w:t>\\</w:t>
    </w:r>
    <w:r w:rsidR="00466236">
      <w:rPr>
        <w:rFonts w:ascii="TH SarabunPSK" w:hAnsi="TH SarabunPSK" w:cs="TH SarabunPSK"/>
        <w:noProof/>
        <w:sz w:val="18"/>
        <w:szCs w:val="22"/>
        <w:cs/>
      </w:rPr>
      <w:t>203.158.7.20</w:t>
    </w:r>
    <w:r w:rsidR="00466236">
      <w:rPr>
        <w:rFonts w:ascii="TH SarabunPSK" w:hAnsi="TH SarabunPSK" w:cs="TH SarabunPSK"/>
        <w:noProof/>
        <w:sz w:val="18"/>
        <w:szCs w:val="22"/>
      </w:rPr>
      <w:t>\institut\A</w:t>
    </w:r>
    <w:r w:rsidR="00466236">
      <w:rPr>
        <w:rFonts w:ascii="TH SarabunPSK" w:hAnsi="TH SarabunPSK" w:cs="TH SarabunPSK"/>
        <w:noProof/>
        <w:sz w:val="18"/>
        <w:szCs w:val="22"/>
        <w:cs/>
      </w:rPr>
      <w:t>06-</w:t>
    </w:r>
    <w:r w:rsidR="00466236">
      <w:rPr>
        <w:rFonts w:ascii="TH SarabunPSK" w:hAnsi="TH SarabunPSK" w:cs="TH SarabunPSK"/>
        <w:noProof/>
        <w:sz w:val="18"/>
        <w:szCs w:val="22"/>
      </w:rPr>
      <w:t>Ranking\</w:t>
    </w:r>
    <w:r w:rsidR="00466236">
      <w:rPr>
        <w:rFonts w:ascii="TH SarabunPSK" w:hAnsi="TH SarabunPSK" w:cs="TH SarabunPSK"/>
        <w:noProof/>
        <w:sz w:val="18"/>
        <w:szCs w:val="22"/>
        <w:cs/>
      </w:rPr>
      <w:t>08-</w:t>
    </w:r>
    <w:r w:rsidR="00466236">
      <w:rPr>
        <w:rFonts w:ascii="TH SarabunPSK" w:hAnsi="TH SarabunPSK" w:cs="TH SarabunPSK"/>
        <w:noProof/>
        <w:sz w:val="18"/>
        <w:szCs w:val="22"/>
      </w:rPr>
      <w:t>System\</w:t>
    </w:r>
    <w:r w:rsidR="00466236">
      <w:rPr>
        <w:rFonts w:ascii="TH SarabunPSK" w:hAnsi="TH SarabunPSK" w:cs="TH SarabunPSK"/>
        <w:noProof/>
        <w:sz w:val="18"/>
        <w:szCs w:val="22"/>
        <w:cs/>
      </w:rPr>
      <w:t>2-2-</w:t>
    </w:r>
    <w:r w:rsidR="00466236">
      <w:rPr>
        <w:rFonts w:ascii="TH SarabunPSK" w:hAnsi="TH SarabunPSK" w:cs="TH SarabunPSK"/>
        <w:noProof/>
        <w:sz w:val="18"/>
        <w:szCs w:val="22"/>
      </w:rPr>
      <w:t>DefinitionKPI-THE.docx</w:t>
    </w:r>
    <w:r w:rsidRPr="00544751">
      <w:rPr>
        <w:rFonts w:ascii="TH SarabunPSK" w:hAnsi="TH SarabunPSK" w:cs="TH SarabunPSK"/>
        <w:sz w:val="18"/>
        <w:szCs w:val="22"/>
        <w: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08A0" w:rsidRDefault="008308A0" w:rsidP="008308A0">
      <w:pPr>
        <w:spacing w:after="0" w:line="240" w:lineRule="auto"/>
      </w:pPr>
      <w:r>
        <w:separator/>
      </w:r>
    </w:p>
  </w:footnote>
  <w:footnote w:type="continuationSeparator" w:id="0">
    <w:p w:rsidR="008308A0" w:rsidRDefault="008308A0" w:rsidP="008308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5098721"/>
      <w:docPartObj>
        <w:docPartGallery w:val="Page Numbers (Top of Page)"/>
        <w:docPartUnique/>
      </w:docPartObj>
    </w:sdtPr>
    <w:sdtEndPr>
      <w:rPr>
        <w:rFonts w:ascii="TH SarabunPSK" w:hAnsi="TH SarabunPSK" w:cs="TH SarabunPSK"/>
        <w:noProof/>
        <w:sz w:val="32"/>
        <w:szCs w:val="40"/>
      </w:rPr>
    </w:sdtEndPr>
    <w:sdtContent>
      <w:p w:rsidR="008308A0" w:rsidRPr="008308A0" w:rsidRDefault="008308A0">
        <w:pPr>
          <w:pStyle w:val="Header"/>
          <w:jc w:val="right"/>
          <w:rPr>
            <w:rFonts w:ascii="TH SarabunPSK" w:hAnsi="TH SarabunPSK" w:cs="TH SarabunPSK"/>
            <w:sz w:val="32"/>
            <w:szCs w:val="40"/>
          </w:rPr>
        </w:pPr>
        <w:r w:rsidRPr="008308A0">
          <w:rPr>
            <w:rFonts w:ascii="TH SarabunPSK" w:hAnsi="TH SarabunPSK" w:cs="TH SarabunPSK"/>
            <w:sz w:val="32"/>
            <w:szCs w:val="40"/>
          </w:rPr>
          <w:fldChar w:fldCharType="begin"/>
        </w:r>
        <w:r w:rsidRPr="008308A0">
          <w:rPr>
            <w:rFonts w:ascii="TH SarabunPSK" w:hAnsi="TH SarabunPSK" w:cs="TH SarabunPSK"/>
            <w:sz w:val="32"/>
            <w:szCs w:val="40"/>
          </w:rPr>
          <w:instrText xml:space="preserve"> PAGE   \* MERGEFORMAT </w:instrText>
        </w:r>
        <w:r w:rsidRPr="008308A0">
          <w:rPr>
            <w:rFonts w:ascii="TH SarabunPSK" w:hAnsi="TH SarabunPSK" w:cs="TH SarabunPSK"/>
            <w:sz w:val="32"/>
            <w:szCs w:val="40"/>
          </w:rPr>
          <w:fldChar w:fldCharType="separate"/>
        </w:r>
        <w:r w:rsidR="000B7617">
          <w:rPr>
            <w:rFonts w:ascii="TH SarabunPSK" w:hAnsi="TH SarabunPSK" w:cs="TH SarabunPSK"/>
            <w:noProof/>
            <w:sz w:val="32"/>
            <w:szCs w:val="40"/>
          </w:rPr>
          <w:t>7</w:t>
        </w:r>
        <w:r w:rsidRPr="008308A0">
          <w:rPr>
            <w:rFonts w:ascii="TH SarabunPSK" w:hAnsi="TH SarabunPSK" w:cs="TH SarabunPSK"/>
            <w:noProof/>
            <w:sz w:val="32"/>
            <w:szCs w:val="40"/>
          </w:rPr>
          <w:fldChar w:fldCharType="end"/>
        </w:r>
      </w:p>
    </w:sdtContent>
  </w:sdt>
  <w:p w:rsidR="008308A0" w:rsidRPr="00544751" w:rsidRDefault="008308A0">
    <w:pPr>
      <w:pStyle w:val="Header"/>
      <w:rPr>
        <w:rFonts w:ascii="TH SarabunPSK" w:hAnsi="TH SarabunPSK" w:cs="TH SarabunPSK"/>
        <w:sz w:val="20"/>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AD100C"/>
    <w:multiLevelType w:val="hybridMultilevel"/>
    <w:tmpl w:val="E96A29F0"/>
    <w:lvl w:ilvl="0" w:tplc="33AE0C66">
      <w:start w:val="1"/>
      <w:numFmt w:val="decimal"/>
      <w:lvlText w:val="2.%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67E5D96"/>
    <w:multiLevelType w:val="hybridMultilevel"/>
    <w:tmpl w:val="CEB6A408"/>
    <w:lvl w:ilvl="0" w:tplc="B2367304">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E45F07"/>
    <w:multiLevelType w:val="hybridMultilevel"/>
    <w:tmpl w:val="34400976"/>
    <w:lvl w:ilvl="0" w:tplc="A4E45674">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F30617"/>
    <w:multiLevelType w:val="hybridMultilevel"/>
    <w:tmpl w:val="08E0E03C"/>
    <w:lvl w:ilvl="0" w:tplc="DA0A6256">
      <w:start w:val="1"/>
      <w:numFmt w:val="decimal"/>
      <w:lvlText w:val="%1."/>
      <w:lvlJc w:val="left"/>
      <w:pPr>
        <w:ind w:left="360" w:hanging="360"/>
      </w:pPr>
      <w:rPr>
        <w:rFonts w:eastAsia="Calibri"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06B2EBA"/>
    <w:multiLevelType w:val="multilevel"/>
    <w:tmpl w:val="28B4E0EA"/>
    <w:lvl w:ilvl="0">
      <w:start w:val="1"/>
      <w:numFmt w:val="decimal"/>
      <w:lvlText w:val="%1."/>
      <w:lvlJc w:val="left"/>
      <w:pPr>
        <w:ind w:left="360" w:hanging="360"/>
      </w:pPr>
      <w:rPr>
        <w:rFonts w:hint="default"/>
        <w:b/>
        <w:bCs/>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5" w15:restartNumberingAfterBreak="0">
    <w:nsid w:val="379B6B01"/>
    <w:multiLevelType w:val="hybridMultilevel"/>
    <w:tmpl w:val="874E2322"/>
    <w:lvl w:ilvl="0" w:tplc="41023D92">
      <w:start w:val="1"/>
      <w:numFmt w:val="decimal"/>
      <w:lvlText w:val="3.%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B590E10"/>
    <w:multiLevelType w:val="hybridMultilevel"/>
    <w:tmpl w:val="E8162D8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59EAE1B0">
      <w:start w:val="1"/>
      <w:numFmt w:val="decimal"/>
      <w:lvlText w:val="%5)"/>
      <w:lvlJc w:val="left"/>
      <w:pPr>
        <w:ind w:left="3240" w:hanging="360"/>
      </w:pPr>
      <w:rPr>
        <w:rFonts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5DE3D1C"/>
    <w:multiLevelType w:val="hybridMultilevel"/>
    <w:tmpl w:val="39CA444C"/>
    <w:lvl w:ilvl="0" w:tplc="85BCEAFA">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C16C5B"/>
    <w:multiLevelType w:val="multilevel"/>
    <w:tmpl w:val="BE1A7378"/>
    <w:lvl w:ilvl="0">
      <w:start w:val="1"/>
      <w:numFmt w:val="decimal"/>
      <w:lvlText w:val="%1."/>
      <w:lvlJc w:val="left"/>
      <w:pPr>
        <w:ind w:left="360" w:hanging="360"/>
      </w:pPr>
      <w:rPr>
        <w:rFonts w:ascii="TH SarabunPSK" w:eastAsia="Calibri" w:hAnsi="TH SarabunPSK" w:cs="TH SarabunPSK"/>
      </w:rPr>
    </w:lvl>
    <w:lvl w:ilvl="1">
      <w:start w:val="1"/>
      <w:numFmt w:val="decimal"/>
      <w:lvlText w:val="%1.%2"/>
      <w:lvlJc w:val="left"/>
      <w:pPr>
        <w:ind w:left="2880" w:hanging="360"/>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8280" w:hanging="72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3680" w:hanging="108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080" w:hanging="1440"/>
      </w:pPr>
      <w:rPr>
        <w:rFonts w:hint="default"/>
      </w:rPr>
    </w:lvl>
    <w:lvl w:ilvl="8">
      <w:start w:val="1"/>
      <w:numFmt w:val="decimal"/>
      <w:lvlText w:val="%1.%2.%3.%4.%5.%6.%7.%8.%9"/>
      <w:lvlJc w:val="left"/>
      <w:pPr>
        <w:ind w:left="21960" w:hanging="1800"/>
      </w:pPr>
      <w:rPr>
        <w:rFonts w:hint="default"/>
      </w:rPr>
    </w:lvl>
  </w:abstractNum>
  <w:num w:numId="1">
    <w:abstractNumId w:val="4"/>
  </w:num>
  <w:num w:numId="2">
    <w:abstractNumId w:val="1"/>
  </w:num>
  <w:num w:numId="3">
    <w:abstractNumId w:val="0"/>
  </w:num>
  <w:num w:numId="4">
    <w:abstractNumId w:val="5"/>
  </w:num>
  <w:num w:numId="5">
    <w:abstractNumId w:val="2"/>
  </w:num>
  <w:num w:numId="6">
    <w:abstractNumId w:val="7"/>
  </w:num>
  <w:num w:numId="7">
    <w:abstractNumId w:val="3"/>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2FF"/>
    <w:rsid w:val="00000A4D"/>
    <w:rsid w:val="000B7617"/>
    <w:rsid w:val="000E2B83"/>
    <w:rsid w:val="001226B0"/>
    <w:rsid w:val="0014631D"/>
    <w:rsid w:val="00163E22"/>
    <w:rsid w:val="001A04AC"/>
    <w:rsid w:val="002429C1"/>
    <w:rsid w:val="00261E15"/>
    <w:rsid w:val="00451452"/>
    <w:rsid w:val="00466236"/>
    <w:rsid w:val="00476BAE"/>
    <w:rsid w:val="004F68BC"/>
    <w:rsid w:val="00544751"/>
    <w:rsid w:val="005C4C45"/>
    <w:rsid w:val="0061623B"/>
    <w:rsid w:val="00657D87"/>
    <w:rsid w:val="00703AB3"/>
    <w:rsid w:val="00707B61"/>
    <w:rsid w:val="007B5AF3"/>
    <w:rsid w:val="007D4DCF"/>
    <w:rsid w:val="007E77AD"/>
    <w:rsid w:val="008308A0"/>
    <w:rsid w:val="008441A1"/>
    <w:rsid w:val="00867B8C"/>
    <w:rsid w:val="00955BC6"/>
    <w:rsid w:val="009832FF"/>
    <w:rsid w:val="009F6744"/>
    <w:rsid w:val="00AD5743"/>
    <w:rsid w:val="00B03E7C"/>
    <w:rsid w:val="00B54C83"/>
    <w:rsid w:val="00B57DF3"/>
    <w:rsid w:val="00BC0B5C"/>
    <w:rsid w:val="00BC54E0"/>
    <w:rsid w:val="00CD5AE4"/>
    <w:rsid w:val="00D030AC"/>
    <w:rsid w:val="00D50CB0"/>
    <w:rsid w:val="00DC5F7D"/>
    <w:rsid w:val="00DF547A"/>
    <w:rsid w:val="00E029B2"/>
    <w:rsid w:val="00EA1A17"/>
    <w:rsid w:val="00EB44F4"/>
    <w:rsid w:val="00F20178"/>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3D63B5-93CC-4A00-94DB-DFD1C72A0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32FF"/>
    <w:pPr>
      <w:ind w:left="720"/>
      <w:contextualSpacing/>
    </w:pPr>
  </w:style>
  <w:style w:type="table" w:styleId="TableGrid">
    <w:name w:val="Table Grid"/>
    <w:basedOn w:val="TableNormal"/>
    <w:uiPriority w:val="39"/>
    <w:rsid w:val="008441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A04AC"/>
    <w:pPr>
      <w:spacing w:after="0" w:line="240" w:lineRule="auto"/>
    </w:pPr>
    <w:rPr>
      <w:rFonts w:ascii="Segoe UI" w:hAnsi="Segoe UI" w:cs="Angsana New"/>
      <w:sz w:val="18"/>
      <w:szCs w:val="22"/>
    </w:rPr>
  </w:style>
  <w:style w:type="character" w:customStyle="1" w:styleId="BalloonTextChar">
    <w:name w:val="Balloon Text Char"/>
    <w:basedOn w:val="DefaultParagraphFont"/>
    <w:link w:val="BalloonText"/>
    <w:uiPriority w:val="99"/>
    <w:semiHidden/>
    <w:rsid w:val="001A04AC"/>
    <w:rPr>
      <w:rFonts w:ascii="Segoe UI" w:hAnsi="Segoe UI" w:cs="Angsana New"/>
      <w:sz w:val="18"/>
      <w:szCs w:val="22"/>
    </w:rPr>
  </w:style>
  <w:style w:type="paragraph" w:styleId="Header">
    <w:name w:val="header"/>
    <w:basedOn w:val="Normal"/>
    <w:link w:val="HeaderChar"/>
    <w:uiPriority w:val="99"/>
    <w:unhideWhenUsed/>
    <w:rsid w:val="008308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08A0"/>
  </w:style>
  <w:style w:type="paragraph" w:styleId="Footer">
    <w:name w:val="footer"/>
    <w:basedOn w:val="Normal"/>
    <w:link w:val="FooterChar"/>
    <w:uiPriority w:val="99"/>
    <w:unhideWhenUsed/>
    <w:rsid w:val="008308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08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202</TotalTime>
  <Pages>8</Pages>
  <Words>1741</Words>
  <Characters>9928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churairat wisaidee</dc:creator>
  <cp:keywords/>
  <dc:description/>
  <cp:lastModifiedBy>churairat wisaidee</cp:lastModifiedBy>
  <cp:revision>6</cp:revision>
  <cp:lastPrinted>2016-03-11T03:42:00Z</cp:lastPrinted>
  <dcterms:created xsi:type="dcterms:W3CDTF">2016-03-11T02:33:00Z</dcterms:created>
  <dcterms:modified xsi:type="dcterms:W3CDTF">2016-03-11T06:13:00Z</dcterms:modified>
</cp:coreProperties>
</file>